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E2567">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0" t="0" r="8890" b="0"/>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C54C933">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1CF2F46E">
                            <w:pPr>
                              <w:spacing w:line="400" w:lineRule="exact"/>
                              <w:rPr>
                                <w:rFonts w:ascii="仿宋_GB2312" w:eastAsia="仿宋_GB2312"/>
                                <w:sz w:val="22"/>
                              </w:rPr>
                            </w:pPr>
                            <w:r>
                              <w:rPr>
                                <w:rFonts w:hint="eastAsia" w:ascii="仿宋_GB2312" w:eastAsia="仿宋_GB2312"/>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fill on="t" focussize="0,0"/>
                <v:stroke color="#FFFFFF" joinstyle="miter"/>
                <v:imagedata o:title=""/>
                <o:lock v:ext="edit" aspectratio="f"/>
                <v:textbox>
                  <w:txbxContent>
                    <w:p w14:paraId="5C54C933">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1CF2F46E">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b/>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1EEF263C">
      <w:pPr>
        <w:ind w:left="682" w:leftChars="-203" w:hanging="1108" w:hangingChars="154"/>
        <w:rPr>
          <w:sz w:val="72"/>
          <w:szCs w:val="72"/>
        </w:rPr>
      </w:pPr>
    </w:p>
    <w:p w14:paraId="484E224F">
      <w:pPr>
        <w:adjustRightInd w:val="0"/>
        <w:snapToGrid w:val="0"/>
        <w:spacing w:line="300" w:lineRule="auto"/>
        <w:jc w:val="left"/>
        <w:rPr>
          <w:b/>
          <w:bCs/>
          <w:snapToGrid w:val="0"/>
          <w:kern w:val="0"/>
          <w:sz w:val="28"/>
          <w:szCs w:val="28"/>
        </w:rPr>
      </w:pPr>
    </w:p>
    <w:p w14:paraId="13386F07">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6301D015">
      <w:pPr>
        <w:adjustRightInd w:val="0"/>
        <w:snapToGrid w:val="0"/>
        <w:spacing w:line="300" w:lineRule="auto"/>
        <w:jc w:val="left"/>
        <w:rPr>
          <w:b/>
          <w:bCs/>
          <w:snapToGrid w:val="0"/>
          <w:kern w:val="0"/>
          <w:sz w:val="28"/>
          <w:szCs w:val="28"/>
        </w:rPr>
      </w:pPr>
    </w:p>
    <w:p w14:paraId="160EE61C">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深圳市儿童医院视频监控系统改造及新增</w:t>
      </w:r>
    </w:p>
    <w:p w14:paraId="1D2FF963">
      <w:pPr>
        <w:adjustRightInd w:val="0"/>
        <w:snapToGrid w:val="0"/>
        <w:spacing w:line="300" w:lineRule="auto"/>
        <w:jc w:val="center"/>
        <w:rPr>
          <w:rFonts w:asciiTheme="minorEastAsia" w:hAnsiTheme="minorEastAsia" w:eastAsiaTheme="minorEastAsia"/>
          <w:b/>
          <w:snapToGrid w:val="0"/>
          <w:kern w:val="0"/>
          <w:sz w:val="44"/>
          <w:szCs w:val="44"/>
        </w:rPr>
      </w:pPr>
    </w:p>
    <w:p w14:paraId="3AAB3F7F">
      <w:pPr>
        <w:adjustRightInd w:val="0"/>
        <w:snapToGrid w:val="0"/>
        <w:spacing w:line="300" w:lineRule="auto"/>
        <w:jc w:val="center"/>
        <w:rPr>
          <w:rFonts w:asciiTheme="minorEastAsia" w:hAnsiTheme="minorEastAsia" w:eastAsiaTheme="minorEastAsia"/>
          <w:b/>
          <w:snapToGrid w:val="0"/>
          <w:kern w:val="0"/>
          <w:sz w:val="44"/>
          <w:szCs w:val="44"/>
        </w:rPr>
      </w:pPr>
    </w:p>
    <w:p w14:paraId="6F38CD1C">
      <w:pPr>
        <w:adjustRightInd w:val="0"/>
        <w:snapToGrid w:val="0"/>
        <w:spacing w:line="300" w:lineRule="auto"/>
        <w:jc w:val="center"/>
        <w:rPr>
          <w:rFonts w:asciiTheme="minorEastAsia" w:hAnsiTheme="minorEastAsia" w:eastAsiaTheme="minorEastAsia"/>
          <w:b/>
          <w:snapToGrid w:val="0"/>
          <w:kern w:val="0"/>
          <w:sz w:val="44"/>
          <w:szCs w:val="44"/>
        </w:rPr>
      </w:pPr>
    </w:p>
    <w:p w14:paraId="3AD784E8">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工程类招标文件</w:t>
      </w:r>
    </w:p>
    <w:p w14:paraId="6E2B78F8">
      <w:pPr>
        <w:adjustRightInd w:val="0"/>
        <w:snapToGrid w:val="0"/>
        <w:spacing w:line="300" w:lineRule="auto"/>
        <w:jc w:val="center"/>
        <w:rPr>
          <w:rFonts w:asciiTheme="minorEastAsia" w:hAnsiTheme="minorEastAsia" w:eastAsiaTheme="minorEastAsia"/>
          <w:b/>
          <w:snapToGrid w:val="0"/>
          <w:kern w:val="0"/>
          <w:sz w:val="32"/>
        </w:rPr>
      </w:pPr>
    </w:p>
    <w:p w14:paraId="5EA5DB49">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SZDL2024001874</w:t>
      </w:r>
    </w:p>
    <w:p w14:paraId="27CE0135">
      <w:pPr>
        <w:adjustRightInd w:val="0"/>
        <w:snapToGrid w:val="0"/>
        <w:spacing w:line="300" w:lineRule="auto"/>
        <w:jc w:val="center"/>
        <w:rPr>
          <w:rFonts w:asciiTheme="minorEastAsia" w:hAnsiTheme="minorEastAsia" w:eastAsiaTheme="minorEastAsia"/>
          <w:b/>
          <w:snapToGrid w:val="0"/>
          <w:kern w:val="0"/>
          <w:sz w:val="18"/>
          <w:szCs w:val="18"/>
        </w:rPr>
      </w:pPr>
    </w:p>
    <w:p w14:paraId="6715C49B">
      <w:pPr>
        <w:adjustRightInd w:val="0"/>
        <w:snapToGrid w:val="0"/>
        <w:spacing w:line="300" w:lineRule="auto"/>
        <w:jc w:val="center"/>
        <w:rPr>
          <w:rFonts w:asciiTheme="minorEastAsia" w:hAnsiTheme="minorEastAsia" w:eastAsiaTheme="minorEastAsia"/>
          <w:b/>
          <w:snapToGrid w:val="0"/>
          <w:kern w:val="0"/>
          <w:sz w:val="44"/>
        </w:rPr>
      </w:pPr>
    </w:p>
    <w:p w14:paraId="4189CE10">
      <w:pPr>
        <w:adjustRightInd w:val="0"/>
        <w:snapToGrid w:val="0"/>
        <w:spacing w:line="300" w:lineRule="auto"/>
        <w:jc w:val="center"/>
        <w:rPr>
          <w:rFonts w:asciiTheme="minorEastAsia" w:hAnsiTheme="minorEastAsia" w:eastAsiaTheme="minorEastAsia"/>
          <w:b/>
          <w:snapToGrid w:val="0"/>
          <w:kern w:val="0"/>
          <w:sz w:val="44"/>
        </w:rPr>
      </w:pPr>
    </w:p>
    <w:p w14:paraId="64D2700E">
      <w:pPr>
        <w:pStyle w:val="5"/>
      </w:pPr>
    </w:p>
    <w:p w14:paraId="1A1DF936"/>
    <w:p w14:paraId="195C3374">
      <w:pPr>
        <w:rPr>
          <w:rFonts w:asciiTheme="minorEastAsia" w:hAnsiTheme="minorEastAsia" w:eastAsiaTheme="minorEastAsia"/>
        </w:rPr>
      </w:pPr>
    </w:p>
    <w:p w14:paraId="30A4A64C">
      <w:pPr>
        <w:rPr>
          <w:rFonts w:asciiTheme="minorEastAsia" w:hAnsiTheme="minorEastAsia" w:eastAsiaTheme="minorEastAsia"/>
        </w:rPr>
      </w:pPr>
    </w:p>
    <w:p w14:paraId="2985EBFC">
      <w:pPr>
        <w:rPr>
          <w:rFonts w:asciiTheme="minorEastAsia" w:hAnsiTheme="minorEastAsia" w:eastAsiaTheme="minorEastAsia"/>
        </w:rPr>
      </w:pPr>
    </w:p>
    <w:p w14:paraId="2C669A68">
      <w:pPr>
        <w:rPr>
          <w:rFonts w:asciiTheme="minorEastAsia" w:hAnsiTheme="minorEastAsia" w:eastAsiaTheme="minorEastAsia"/>
        </w:rPr>
      </w:pPr>
    </w:p>
    <w:p w14:paraId="7A93F185">
      <w:pPr>
        <w:pStyle w:val="33"/>
        <w:adjustRightInd w:val="0"/>
        <w:snapToGrid w:val="0"/>
        <w:spacing w:line="300" w:lineRule="auto"/>
        <w:jc w:val="center"/>
        <w:rPr>
          <w:rFonts w:asciiTheme="minorEastAsia" w:hAnsiTheme="minorEastAsia" w:eastAsiaTheme="minorEastAsia"/>
        </w:rPr>
      </w:pPr>
      <w:r>
        <w:rPr>
          <w:rFonts w:hint="eastAsia" w:asciiTheme="minorEastAsia" w:hAnsiTheme="minorEastAsia" w:eastAsiaTheme="minorEastAsia"/>
          <w:b/>
          <w:snapToGrid w:val="0"/>
          <w:sz w:val="30"/>
        </w:rPr>
        <w:t>二〇二四年</w:t>
      </w:r>
      <w:r>
        <w:rPr>
          <w:rFonts w:hint="eastAsia" w:asciiTheme="minorEastAsia" w:hAnsiTheme="minorEastAsia" w:eastAsiaTheme="minorEastAsia"/>
          <w:b/>
          <w:snapToGrid w:val="0"/>
          <w:sz w:val="30"/>
          <w:lang w:val="en-US" w:eastAsia="zh-CN"/>
        </w:rPr>
        <w:t>十</w:t>
      </w:r>
      <w:r>
        <w:rPr>
          <w:rFonts w:hint="eastAsia" w:asciiTheme="minorEastAsia" w:hAnsiTheme="minorEastAsia" w:eastAsiaTheme="minorEastAsia"/>
          <w:b/>
          <w:snapToGrid w:val="0"/>
          <w:sz w:val="30"/>
        </w:rPr>
        <w:t>月</w:t>
      </w:r>
    </w:p>
    <w:p w14:paraId="46A6A159">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1CFCD15">
      <w:pPr>
        <w:spacing w:line="360" w:lineRule="auto"/>
        <w:ind w:firstLine="480" w:firstLineChars="200"/>
        <w:rPr>
          <w:rFonts w:ascii="仿宋" w:hAnsi="仿宋" w:eastAsia="仿宋"/>
          <w:sz w:val="24"/>
        </w:rPr>
      </w:pPr>
    </w:p>
    <w:p w14:paraId="6E77FE84">
      <w:pPr>
        <w:spacing w:line="440" w:lineRule="exact"/>
        <w:ind w:firstLine="420" w:firstLineChars="200"/>
        <w:rPr>
          <w:rFonts w:ascii="宋体" w:hAnsi="宋体"/>
          <w:szCs w:val="21"/>
        </w:rPr>
      </w:pPr>
      <w:r>
        <w:rPr>
          <w:rFonts w:hint="eastAsia" w:ascii="宋体" w:hAnsi="宋体"/>
          <w:szCs w:val="21"/>
        </w:rPr>
        <w:t>一、《深圳经济特区政府采购条例》</w:t>
      </w:r>
    </w:p>
    <w:p w14:paraId="63799604">
      <w:pPr>
        <w:spacing w:line="440" w:lineRule="exact"/>
        <w:ind w:firstLine="420" w:firstLineChars="200"/>
        <w:rPr>
          <w:rFonts w:ascii="宋体" w:hAnsi="宋体"/>
          <w:szCs w:val="21"/>
        </w:rPr>
      </w:pPr>
      <w:r>
        <w:rPr>
          <w:rFonts w:hint="eastAsia" w:ascii="宋体" w:hAnsi="宋体"/>
          <w:szCs w:val="21"/>
        </w:rPr>
        <w:t>第五十七条</w:t>
      </w:r>
      <w:r>
        <w:rPr>
          <w:rFonts w:ascii="宋体" w:hAnsi="宋体"/>
          <w:szCs w:val="21"/>
        </w:rPr>
        <w:t xml:space="preserve"> </w:t>
      </w:r>
      <w:r>
        <w:rPr>
          <w:rFonts w:hint="eastAsia" w:ascii="宋体" w:hAnsi="宋体"/>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58F35A6">
      <w:pPr>
        <w:spacing w:line="440" w:lineRule="exact"/>
        <w:ind w:firstLine="420" w:firstLineChars="200"/>
        <w:rPr>
          <w:rFonts w:ascii="宋体" w:hAnsi="宋体"/>
          <w:szCs w:val="21"/>
        </w:rPr>
      </w:pPr>
      <w:r>
        <w:rPr>
          <w:rFonts w:hint="eastAsia" w:ascii="宋体" w:hAnsi="宋体"/>
          <w:szCs w:val="21"/>
        </w:rPr>
        <w:t>（一）在采购活动中应当回避而未回避的；</w:t>
      </w:r>
    </w:p>
    <w:p w14:paraId="3FF8C658">
      <w:pPr>
        <w:spacing w:line="440" w:lineRule="exact"/>
        <w:ind w:firstLine="420" w:firstLineChars="200"/>
        <w:rPr>
          <w:rFonts w:ascii="宋体" w:hAnsi="宋体"/>
          <w:szCs w:val="21"/>
        </w:rPr>
      </w:pPr>
      <w:r>
        <w:rPr>
          <w:rFonts w:hint="eastAsia" w:ascii="宋体" w:hAnsi="宋体"/>
          <w:szCs w:val="21"/>
        </w:rPr>
        <w:t>（二）未按本条例规定签订、履行采购合同，造成严重后果的；</w:t>
      </w:r>
    </w:p>
    <w:p w14:paraId="5B15F7BD">
      <w:pPr>
        <w:spacing w:line="440" w:lineRule="exact"/>
        <w:ind w:firstLine="420" w:firstLineChars="200"/>
        <w:rPr>
          <w:rFonts w:ascii="宋体" w:hAnsi="宋体"/>
          <w:szCs w:val="21"/>
        </w:rPr>
      </w:pPr>
      <w:r>
        <w:rPr>
          <w:rFonts w:hint="eastAsia" w:ascii="宋体" w:hAnsi="宋体"/>
          <w:szCs w:val="21"/>
        </w:rPr>
        <w:t>（三）隐瞒真实情况，提供虚假资料的；</w:t>
      </w:r>
    </w:p>
    <w:p w14:paraId="309917B3">
      <w:pPr>
        <w:spacing w:line="440" w:lineRule="exact"/>
        <w:ind w:firstLine="420" w:firstLineChars="200"/>
        <w:rPr>
          <w:rFonts w:ascii="宋体" w:hAnsi="宋体"/>
          <w:szCs w:val="21"/>
        </w:rPr>
      </w:pPr>
      <w:r>
        <w:rPr>
          <w:rFonts w:hint="eastAsia" w:ascii="宋体" w:hAnsi="宋体"/>
          <w:szCs w:val="21"/>
        </w:rPr>
        <w:t>（四）以非法手段排斥其他供应商参与竞争的；</w:t>
      </w:r>
    </w:p>
    <w:p w14:paraId="3FF01C5F">
      <w:pPr>
        <w:spacing w:line="440" w:lineRule="exact"/>
        <w:ind w:firstLine="420" w:firstLineChars="200"/>
        <w:rPr>
          <w:rFonts w:ascii="宋体" w:hAnsi="宋体"/>
          <w:szCs w:val="21"/>
        </w:rPr>
      </w:pPr>
      <w:r>
        <w:rPr>
          <w:rFonts w:hint="eastAsia" w:ascii="宋体" w:hAnsi="宋体"/>
          <w:szCs w:val="21"/>
        </w:rPr>
        <w:t>（五）与其他采购参加人串通投标的；</w:t>
      </w:r>
    </w:p>
    <w:p w14:paraId="15B15CF9">
      <w:pPr>
        <w:spacing w:line="440" w:lineRule="exact"/>
        <w:ind w:firstLine="420" w:firstLineChars="200"/>
        <w:rPr>
          <w:rFonts w:ascii="宋体" w:hAnsi="宋体"/>
          <w:szCs w:val="21"/>
        </w:rPr>
      </w:pPr>
      <w:r>
        <w:rPr>
          <w:rFonts w:hint="eastAsia" w:ascii="宋体" w:hAnsi="宋体"/>
          <w:szCs w:val="21"/>
        </w:rPr>
        <w:t>（六）恶意投诉的；</w:t>
      </w:r>
    </w:p>
    <w:p w14:paraId="3B3C1874">
      <w:pPr>
        <w:spacing w:line="440" w:lineRule="exact"/>
        <w:ind w:firstLine="420" w:firstLineChars="200"/>
        <w:rPr>
          <w:rFonts w:ascii="宋体" w:hAnsi="宋体"/>
          <w:szCs w:val="21"/>
        </w:rPr>
      </w:pPr>
      <w:r>
        <w:rPr>
          <w:rFonts w:hint="eastAsia" w:ascii="宋体" w:hAnsi="宋体"/>
          <w:szCs w:val="21"/>
        </w:rPr>
        <w:t>（七）向采购项目相关人行贿或者提供其他不当利益的；</w:t>
      </w:r>
    </w:p>
    <w:p w14:paraId="12666EE3">
      <w:pPr>
        <w:spacing w:line="440" w:lineRule="exact"/>
        <w:ind w:firstLine="420" w:firstLineChars="200"/>
        <w:rPr>
          <w:rFonts w:ascii="宋体" w:hAnsi="宋体"/>
          <w:szCs w:val="21"/>
        </w:rPr>
      </w:pPr>
      <w:r>
        <w:rPr>
          <w:rFonts w:hint="eastAsia" w:ascii="宋体" w:hAnsi="宋体"/>
          <w:szCs w:val="21"/>
        </w:rPr>
        <w:t>（八）阻碍、抗拒主管部门监督检查的；</w:t>
      </w:r>
    </w:p>
    <w:p w14:paraId="078C95CD">
      <w:pPr>
        <w:spacing w:line="440" w:lineRule="exact"/>
        <w:ind w:firstLine="420" w:firstLineChars="200"/>
        <w:rPr>
          <w:rFonts w:ascii="宋体" w:hAnsi="宋体"/>
          <w:szCs w:val="21"/>
        </w:rPr>
      </w:pPr>
      <w:r>
        <w:rPr>
          <w:rFonts w:hint="eastAsia" w:ascii="宋体" w:hAnsi="宋体"/>
          <w:szCs w:val="21"/>
        </w:rPr>
        <w:t>（九）其他违反本条例规定的行为。</w:t>
      </w:r>
    </w:p>
    <w:p w14:paraId="069793EF">
      <w:pPr>
        <w:spacing w:line="440" w:lineRule="exact"/>
        <w:ind w:firstLine="420" w:firstLineChars="200"/>
        <w:rPr>
          <w:rFonts w:ascii="宋体" w:hAnsi="宋体"/>
          <w:szCs w:val="21"/>
        </w:rPr>
      </w:pPr>
    </w:p>
    <w:p w14:paraId="0581C54D">
      <w:pPr>
        <w:spacing w:line="440" w:lineRule="exact"/>
        <w:ind w:firstLine="420" w:firstLineChars="200"/>
        <w:rPr>
          <w:rFonts w:ascii="宋体" w:hAnsi="宋体"/>
          <w:szCs w:val="21"/>
        </w:rPr>
      </w:pPr>
      <w:r>
        <w:rPr>
          <w:rFonts w:hint="eastAsia" w:ascii="宋体" w:hAnsi="宋体"/>
          <w:szCs w:val="21"/>
        </w:rPr>
        <w:t>二、《深圳经济特区政府采购条例实施细则》</w:t>
      </w:r>
    </w:p>
    <w:p w14:paraId="6B07B4D5">
      <w:pPr>
        <w:spacing w:line="440" w:lineRule="exact"/>
        <w:ind w:firstLine="422" w:firstLineChars="200"/>
        <w:rPr>
          <w:rFonts w:ascii="宋体" w:hAnsi="宋体"/>
          <w:b/>
          <w:color w:val="FF0000"/>
          <w:szCs w:val="21"/>
        </w:rPr>
      </w:pPr>
      <w:r>
        <w:rPr>
          <w:rFonts w:hint="eastAsia" w:ascii="宋体" w:hAnsi="宋体"/>
          <w:b/>
          <w:color w:val="FF0000"/>
          <w:szCs w:val="21"/>
        </w:rPr>
        <w:t>第七十五条 供应商有下列情形的，属于采购条例所称的串通投标行为，按照采购条例第五十七条有关规定处理：</w:t>
      </w:r>
    </w:p>
    <w:p w14:paraId="1BD819E4">
      <w:pPr>
        <w:spacing w:line="440" w:lineRule="exact"/>
        <w:ind w:firstLine="422" w:firstLineChars="200"/>
        <w:rPr>
          <w:rFonts w:ascii="宋体" w:hAnsi="宋体"/>
          <w:b/>
          <w:color w:val="FF0000"/>
          <w:szCs w:val="21"/>
        </w:rPr>
      </w:pPr>
      <w:r>
        <w:rPr>
          <w:rFonts w:hint="eastAsia" w:ascii="宋体" w:hAnsi="宋体"/>
          <w:b/>
          <w:color w:val="FF0000"/>
          <w:szCs w:val="21"/>
        </w:rPr>
        <w:t>（一）投标供应商之间相互约定给予未中标的供应商利益补偿；</w:t>
      </w:r>
    </w:p>
    <w:p w14:paraId="20957579">
      <w:pPr>
        <w:spacing w:line="440" w:lineRule="exact"/>
        <w:ind w:firstLine="422" w:firstLineChars="200"/>
        <w:rPr>
          <w:rFonts w:ascii="宋体" w:hAnsi="宋体"/>
          <w:b/>
          <w:color w:val="FF0000"/>
          <w:szCs w:val="21"/>
        </w:rPr>
      </w:pPr>
      <w:r>
        <w:rPr>
          <w:rFonts w:hint="eastAsia" w:ascii="宋体" w:hAnsi="宋体"/>
          <w:b/>
          <w:color w:val="FF0000"/>
          <w:szCs w:val="21"/>
        </w:rPr>
        <w:t xml:space="preserve">（二）不同投标供应商的法定代表人、主要经营负责人、项目投标授权代表人、项目负责人、主要技术人员为同一人、属同一单位或者在同一单位缴纳社会保险；          </w:t>
      </w:r>
    </w:p>
    <w:p w14:paraId="37F83F8A">
      <w:pPr>
        <w:spacing w:line="440" w:lineRule="exact"/>
        <w:ind w:firstLine="422" w:firstLineChars="200"/>
        <w:rPr>
          <w:rFonts w:ascii="宋体" w:hAnsi="宋体"/>
          <w:b/>
          <w:color w:val="FF0000"/>
          <w:szCs w:val="21"/>
        </w:rPr>
      </w:pPr>
      <w:r>
        <w:rPr>
          <w:rFonts w:hint="eastAsia" w:ascii="宋体" w:hAnsi="宋体"/>
          <w:b/>
          <w:color w:val="FF0000"/>
          <w:szCs w:val="21"/>
        </w:rPr>
        <w:t>（三）不同投标供应商的投标文件由同一单位或者同一人编制，或者由同一人分阶段参与编制的；</w:t>
      </w:r>
    </w:p>
    <w:p w14:paraId="67E0723A">
      <w:pPr>
        <w:spacing w:line="440" w:lineRule="exact"/>
        <w:ind w:firstLine="422" w:firstLineChars="200"/>
        <w:rPr>
          <w:rFonts w:ascii="宋体" w:hAnsi="宋体"/>
          <w:b/>
          <w:color w:val="FF0000"/>
          <w:szCs w:val="21"/>
        </w:rPr>
      </w:pPr>
      <w:r>
        <w:rPr>
          <w:rFonts w:hint="eastAsia" w:ascii="宋体" w:hAnsi="宋体"/>
          <w:b/>
          <w:color w:val="FF0000"/>
          <w:szCs w:val="21"/>
        </w:rPr>
        <w:t>（四）不同投标供应商的投标文件或部分投标文件相互混装；</w:t>
      </w:r>
    </w:p>
    <w:p w14:paraId="6F891287">
      <w:pPr>
        <w:spacing w:line="440" w:lineRule="exact"/>
        <w:ind w:firstLine="422" w:firstLineChars="200"/>
        <w:rPr>
          <w:rFonts w:ascii="宋体" w:hAnsi="宋体"/>
          <w:b/>
          <w:color w:val="FF0000"/>
          <w:szCs w:val="21"/>
        </w:rPr>
      </w:pPr>
      <w:r>
        <w:rPr>
          <w:rFonts w:hint="eastAsia" w:ascii="宋体" w:hAnsi="宋体"/>
          <w:b/>
          <w:color w:val="FF0000"/>
          <w:szCs w:val="21"/>
        </w:rPr>
        <w:t>（五）不同投标供应商的投标文件内容存在非正常一致；</w:t>
      </w:r>
    </w:p>
    <w:p w14:paraId="3BEC8676">
      <w:pPr>
        <w:spacing w:line="440" w:lineRule="exact"/>
        <w:ind w:firstLine="422" w:firstLineChars="200"/>
        <w:rPr>
          <w:rFonts w:ascii="宋体" w:hAnsi="宋体"/>
          <w:b/>
          <w:color w:val="FF0000"/>
          <w:szCs w:val="21"/>
        </w:rPr>
      </w:pPr>
      <w:r>
        <w:rPr>
          <w:rFonts w:hint="eastAsia" w:ascii="宋体" w:hAnsi="宋体"/>
          <w:b/>
          <w:color w:val="FF0000"/>
          <w:szCs w:val="21"/>
        </w:rPr>
        <w:t>（六）由同一单位工作人员为两家以上（含两家）供应商进行同一项投标活动的；</w:t>
      </w:r>
    </w:p>
    <w:p w14:paraId="37167529">
      <w:pPr>
        <w:spacing w:line="440" w:lineRule="exact"/>
        <w:ind w:firstLine="422" w:firstLineChars="200"/>
        <w:rPr>
          <w:rFonts w:ascii="宋体" w:hAnsi="宋体"/>
          <w:b/>
          <w:color w:val="FF0000"/>
          <w:szCs w:val="21"/>
        </w:rPr>
      </w:pPr>
      <w:r>
        <w:rPr>
          <w:rFonts w:hint="eastAsia" w:ascii="宋体" w:hAnsi="宋体"/>
          <w:b/>
          <w:color w:val="FF0000"/>
          <w:szCs w:val="21"/>
        </w:rPr>
        <w:t>（七）主管部门依照法律、法规认定的其他情形。</w:t>
      </w:r>
    </w:p>
    <w:p w14:paraId="605A05BC">
      <w:pPr>
        <w:spacing w:line="440" w:lineRule="exact"/>
        <w:ind w:firstLine="420" w:firstLineChars="200"/>
        <w:rPr>
          <w:rFonts w:ascii="宋体" w:hAnsi="宋体"/>
          <w:szCs w:val="21"/>
        </w:rPr>
      </w:pPr>
      <w:r>
        <w:rPr>
          <w:rFonts w:hint="eastAsia" w:ascii="宋体" w:hAnsi="宋体"/>
          <w:szCs w:val="21"/>
        </w:rPr>
        <w:t>第七十七条 供应商有下列情形之一的，属于隐瞒真实情况，提供虚假资料，按照采购条例第五十七的有关规定处理：</w:t>
      </w:r>
    </w:p>
    <w:p w14:paraId="7ECA2778">
      <w:pPr>
        <w:spacing w:line="440" w:lineRule="exact"/>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65AA79AE">
      <w:pPr>
        <w:spacing w:line="440" w:lineRule="exact"/>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727899FA">
      <w:pPr>
        <w:spacing w:line="440" w:lineRule="exact"/>
        <w:ind w:firstLine="420" w:firstLineChars="200"/>
        <w:rPr>
          <w:rFonts w:ascii="宋体" w:hAnsi="宋体"/>
          <w:szCs w:val="21"/>
        </w:rPr>
      </w:pPr>
      <w:r>
        <w:rPr>
          <w:rFonts w:hint="eastAsia" w:ascii="宋体" w:hAnsi="宋体"/>
          <w:szCs w:val="21"/>
        </w:rPr>
        <w:t>（三）项目负责人或者主要技术人员不是本单位人员的；</w:t>
      </w:r>
    </w:p>
    <w:p w14:paraId="4EBD20BF">
      <w:pPr>
        <w:spacing w:line="440" w:lineRule="exact"/>
        <w:ind w:firstLine="420" w:firstLineChars="200"/>
        <w:rPr>
          <w:rFonts w:ascii="宋体" w:hAnsi="宋体"/>
          <w:szCs w:val="21"/>
        </w:rPr>
      </w:pPr>
      <w:r>
        <w:rPr>
          <w:rFonts w:hint="eastAsia" w:ascii="宋体" w:hAnsi="宋体"/>
          <w:szCs w:val="21"/>
        </w:rPr>
        <w:t>（四）投标保证金不是从投标供应商基本账户转出的；</w:t>
      </w:r>
    </w:p>
    <w:p w14:paraId="3CB99618">
      <w:pPr>
        <w:spacing w:line="440" w:lineRule="exact"/>
        <w:ind w:firstLine="420" w:firstLineChars="200"/>
        <w:rPr>
          <w:rFonts w:ascii="宋体" w:hAnsi="宋体"/>
          <w:szCs w:val="21"/>
        </w:rPr>
      </w:pPr>
      <w:r>
        <w:rPr>
          <w:rFonts w:hint="eastAsia" w:ascii="宋体" w:hAnsi="宋体"/>
          <w:szCs w:val="21"/>
        </w:rPr>
        <w:t>（五）其他隐瞒真实情况、提供虚假资料的行为。</w:t>
      </w:r>
    </w:p>
    <w:p w14:paraId="56202EF7">
      <w:pPr>
        <w:spacing w:line="440" w:lineRule="exact"/>
        <w:ind w:firstLine="371" w:firstLineChars="177"/>
        <w:rPr>
          <w:rFonts w:ascii="宋体" w:hAnsi="宋体"/>
          <w:szCs w:val="21"/>
        </w:rPr>
      </w:pPr>
      <w:r>
        <w:rPr>
          <w:rFonts w:hint="eastAsia" w:ascii="宋体" w:hAnsi="宋体"/>
          <w:szCs w:val="21"/>
        </w:rPr>
        <w:t>投标供应商不能提供项目负责人或者主要技术人员的劳动合同、社会保险等劳动关系证明材料的，视为存在前款第（三）项规定的情形。</w:t>
      </w:r>
    </w:p>
    <w:p w14:paraId="7467DB76">
      <w:pPr>
        <w:widowControl/>
        <w:spacing w:after="120"/>
        <w:jc w:val="left"/>
        <w:rPr>
          <w:kern w:val="0"/>
          <w:sz w:val="24"/>
        </w:rPr>
      </w:pPr>
    </w:p>
    <w:p w14:paraId="27A7DEB5">
      <w:pPr>
        <w:spacing w:line="440" w:lineRule="exact"/>
        <w:ind w:firstLine="420" w:firstLineChars="200"/>
        <w:rPr>
          <w:rFonts w:ascii="宋体" w:hAnsi="宋体"/>
          <w:szCs w:val="21"/>
        </w:rPr>
      </w:pPr>
      <w:r>
        <w:rPr>
          <w:rFonts w:hint="eastAsia" w:ascii="宋体" w:hAnsi="宋体"/>
          <w:szCs w:val="21"/>
        </w:rPr>
        <w:t>三、《中华人民共和国政府采购法实施条例》</w:t>
      </w:r>
    </w:p>
    <w:p w14:paraId="0961B41A">
      <w:pPr>
        <w:spacing w:line="440" w:lineRule="exact"/>
        <w:ind w:firstLine="371" w:firstLineChars="177"/>
        <w:rPr>
          <w:rFonts w:ascii="宋体" w:hAnsi="宋体"/>
          <w:szCs w:val="21"/>
        </w:rPr>
      </w:pPr>
      <w:r>
        <w:rPr>
          <w:rFonts w:hint="eastAsia" w:ascii="宋体" w:hAnsi="宋体"/>
          <w:szCs w:val="21"/>
        </w:rPr>
        <w:t>第十八条 单位负责人为同一人或者存在直接控股、管理关系的不同供应商，不得参加同一合同项下的政府采购活动。</w:t>
      </w:r>
    </w:p>
    <w:p w14:paraId="735DB1F4">
      <w:pPr>
        <w:spacing w:line="440" w:lineRule="exact"/>
        <w:ind w:firstLine="371" w:firstLineChars="177"/>
        <w:rPr>
          <w:rFonts w:ascii="宋体" w:hAnsi="宋体"/>
          <w:szCs w:val="21"/>
        </w:rPr>
      </w:pPr>
      <w:r>
        <w:rPr>
          <w:rFonts w:hint="eastAsia" w:ascii="宋体" w:hAnsi="宋体"/>
          <w:szCs w:val="21"/>
        </w:rPr>
        <w:t>除单一来源采购项目外，为采购项目提供整体设计、规范编制或者项目管理、监理、检测等服务的供应商，不得再参加该采购项目的其他采购活动。</w:t>
      </w:r>
    </w:p>
    <w:p w14:paraId="0B6C5CA1">
      <w:pPr>
        <w:spacing w:line="440" w:lineRule="exact"/>
        <w:ind w:firstLine="373" w:firstLineChars="177"/>
        <w:rPr>
          <w:rFonts w:ascii="宋体" w:hAnsi="宋体"/>
          <w:b/>
          <w:color w:val="FF0000"/>
          <w:szCs w:val="21"/>
        </w:rPr>
      </w:pPr>
    </w:p>
    <w:p w14:paraId="06AE1F49">
      <w:pPr>
        <w:spacing w:line="440" w:lineRule="exact"/>
        <w:ind w:firstLine="373" w:firstLineChars="177"/>
        <w:rPr>
          <w:rFonts w:ascii="宋体" w:hAnsi="宋体"/>
          <w:b/>
          <w:color w:val="FF0000"/>
          <w:szCs w:val="21"/>
        </w:rPr>
      </w:pPr>
      <w:r>
        <w:rPr>
          <w:rFonts w:hint="eastAsia" w:ascii="宋体" w:hAnsi="宋体"/>
          <w:b/>
          <w:color w:val="FF0000"/>
          <w:szCs w:val="21"/>
        </w:rPr>
        <w:t>投标供应商涉嫌存在串通投标等违法行为的，将书面报告财政主管部门依法处理。</w:t>
      </w:r>
    </w:p>
    <w:p w14:paraId="12188559">
      <w:pPr>
        <w:widowControl/>
        <w:spacing w:after="120"/>
        <w:jc w:val="left"/>
        <w:rPr>
          <w:kern w:val="0"/>
          <w:sz w:val="24"/>
        </w:rPr>
      </w:pPr>
    </w:p>
    <w:p w14:paraId="50507E0B">
      <w:pPr>
        <w:widowControl/>
        <w:jc w:val="left"/>
        <w:rPr>
          <w:sz w:val="40"/>
          <w:szCs w:val="40"/>
        </w:rPr>
      </w:pPr>
      <w:r>
        <w:rPr>
          <w:sz w:val="40"/>
          <w:szCs w:val="40"/>
        </w:rPr>
        <w:br w:type="page"/>
      </w:r>
    </w:p>
    <w:p w14:paraId="2E80AA63">
      <w:pPr>
        <w:pStyle w:val="49"/>
        <w:spacing w:before="454" w:after="454"/>
        <w:ind w:left="454" w:right="454"/>
        <w:jc w:val="center"/>
        <w:outlineLvl w:val="0"/>
        <w:rPr>
          <w:sz w:val="40"/>
          <w:szCs w:val="40"/>
        </w:rPr>
      </w:pPr>
      <w:r>
        <w:rPr>
          <w:rFonts w:hint="eastAsia"/>
          <w:sz w:val="40"/>
          <w:szCs w:val="40"/>
        </w:rPr>
        <w:t>深圳市儿童医院视频监控系统改造及新增</w:t>
      </w:r>
    </w:p>
    <w:p w14:paraId="18DC869F">
      <w:pPr>
        <w:pStyle w:val="49"/>
        <w:spacing w:after="100" w:afterAutospacing="1"/>
        <w:jc w:val="center"/>
        <w:outlineLvl w:val="1"/>
        <w:rPr>
          <w:rFonts w:ascii="黑体" w:hAnsi="黑体" w:eastAsia="黑体"/>
          <w:sz w:val="40"/>
          <w:szCs w:val="40"/>
        </w:rPr>
      </w:pPr>
      <w:r>
        <w:rPr>
          <w:rFonts w:hint="eastAsia" w:ascii="黑体" w:hAnsi="黑体" w:eastAsia="黑体"/>
          <w:sz w:val="40"/>
          <w:szCs w:val="40"/>
        </w:rPr>
        <w:t>招标文件信息</w:t>
      </w:r>
    </w:p>
    <w:tbl>
      <w:tblPr>
        <w:tblStyle w:val="55"/>
        <w:tblW w:w="7938" w:type="dxa"/>
        <w:jc w:val="center"/>
        <w:tblCellSpacing w:w="0" w:type="dxa"/>
        <w:tblLayout w:type="autofit"/>
        <w:tblCellMar>
          <w:top w:w="45" w:type="dxa"/>
          <w:left w:w="45" w:type="dxa"/>
          <w:bottom w:w="45" w:type="dxa"/>
          <w:right w:w="45" w:type="dxa"/>
        </w:tblCellMar>
      </w:tblPr>
      <w:tblGrid>
        <w:gridCol w:w="2722"/>
        <w:gridCol w:w="5216"/>
      </w:tblGrid>
      <w:tr w14:paraId="111631A5">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1D822641">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项目编号：</w:t>
            </w:r>
          </w:p>
        </w:tc>
        <w:tc>
          <w:tcPr>
            <w:tcW w:w="0" w:type="auto"/>
            <w:vAlign w:val="center"/>
          </w:tcPr>
          <w:p w14:paraId="6BAACE8E">
            <w:pPr>
              <w:rPr>
                <w:rFonts w:hint="eastAsia" w:cs="宋体"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SZDL2024001874</w:t>
            </w:r>
          </w:p>
        </w:tc>
      </w:tr>
      <w:tr w14:paraId="55337301">
        <w:tblPrEx>
          <w:tblCellMar>
            <w:top w:w="45" w:type="dxa"/>
            <w:left w:w="45" w:type="dxa"/>
            <w:bottom w:w="45" w:type="dxa"/>
            <w:right w:w="45" w:type="dxa"/>
          </w:tblCellMar>
        </w:tblPrEx>
        <w:trPr>
          <w:trHeight w:val="737" w:hRule="atLeast"/>
          <w:tblCellSpacing w:w="0" w:type="dxa"/>
          <w:jc w:val="center"/>
        </w:trPr>
        <w:tc>
          <w:tcPr>
            <w:tcW w:w="0" w:type="auto"/>
            <w:vAlign w:val="center"/>
          </w:tcPr>
          <w:p w14:paraId="5B615957">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项目名称：</w:t>
            </w:r>
          </w:p>
        </w:tc>
        <w:tc>
          <w:tcPr>
            <w:tcW w:w="0" w:type="auto"/>
            <w:vAlign w:val="center"/>
          </w:tcPr>
          <w:p w14:paraId="65A6B988">
            <w:pPr>
              <w:rPr>
                <w:rFonts w:cs="宋体" w:asciiTheme="minorEastAsia" w:hAnsiTheme="minorEastAsia" w:eastAsiaTheme="minorEastAsia"/>
                <w:sz w:val="30"/>
                <w:szCs w:val="30"/>
              </w:rPr>
            </w:pPr>
            <w:r>
              <w:rPr>
                <w:rFonts w:hint="eastAsia" w:asciiTheme="minorEastAsia" w:hAnsiTheme="minorEastAsia" w:eastAsiaTheme="minorEastAsia"/>
                <w:sz w:val="30"/>
                <w:szCs w:val="30"/>
              </w:rPr>
              <w:t>深圳市儿童医院视频监控系统改造及新增</w:t>
            </w:r>
          </w:p>
        </w:tc>
      </w:tr>
      <w:tr w14:paraId="1C5C60E0">
        <w:tblPrEx>
          <w:tblCellMar>
            <w:top w:w="45" w:type="dxa"/>
            <w:left w:w="45" w:type="dxa"/>
            <w:bottom w:w="45" w:type="dxa"/>
            <w:right w:w="45" w:type="dxa"/>
          </w:tblCellMar>
        </w:tblPrEx>
        <w:trPr>
          <w:trHeight w:val="737" w:hRule="atLeast"/>
          <w:tblCellSpacing w:w="0" w:type="dxa"/>
          <w:jc w:val="center"/>
        </w:trPr>
        <w:tc>
          <w:tcPr>
            <w:tcW w:w="0" w:type="auto"/>
            <w:vAlign w:val="center"/>
          </w:tcPr>
          <w:p w14:paraId="7C42C3BB">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包 号：</w:t>
            </w:r>
          </w:p>
        </w:tc>
        <w:tc>
          <w:tcPr>
            <w:tcW w:w="0" w:type="auto"/>
            <w:vAlign w:val="center"/>
          </w:tcPr>
          <w:p w14:paraId="1212D7C7">
            <w:pPr>
              <w:rPr>
                <w:rFonts w:cs="宋体" w:asciiTheme="minorEastAsia" w:hAnsiTheme="minorEastAsia" w:eastAsiaTheme="minorEastAsia"/>
                <w:sz w:val="30"/>
                <w:szCs w:val="30"/>
              </w:rPr>
            </w:pPr>
            <w:r>
              <w:rPr>
                <w:rFonts w:asciiTheme="minorEastAsia" w:hAnsiTheme="minorEastAsia" w:eastAsiaTheme="minorEastAsia"/>
                <w:sz w:val="30"/>
                <w:szCs w:val="30"/>
              </w:rPr>
              <w:t>A</w:t>
            </w:r>
          </w:p>
        </w:tc>
      </w:tr>
      <w:tr w14:paraId="623FD393">
        <w:tblPrEx>
          <w:tblCellMar>
            <w:top w:w="45" w:type="dxa"/>
            <w:left w:w="45" w:type="dxa"/>
            <w:bottom w:w="45" w:type="dxa"/>
            <w:right w:w="45" w:type="dxa"/>
          </w:tblCellMar>
        </w:tblPrEx>
        <w:trPr>
          <w:trHeight w:val="737" w:hRule="atLeast"/>
          <w:tblCellSpacing w:w="0" w:type="dxa"/>
          <w:jc w:val="center"/>
        </w:trPr>
        <w:tc>
          <w:tcPr>
            <w:tcW w:w="0" w:type="auto"/>
            <w:vAlign w:val="center"/>
          </w:tcPr>
          <w:p w14:paraId="090B9CCF">
            <w:pPr>
              <w:jc w:val="right"/>
              <w:rPr>
                <w:rFonts w:ascii="宋体" w:hAnsi="宋体" w:cs="宋体"/>
                <w:sz w:val="30"/>
                <w:szCs w:val="30"/>
              </w:rPr>
            </w:pPr>
            <w:r>
              <w:rPr>
                <w:sz w:val="30"/>
                <w:szCs w:val="30"/>
              </w:rPr>
              <w:t>项目类型：</w:t>
            </w:r>
          </w:p>
        </w:tc>
        <w:tc>
          <w:tcPr>
            <w:tcW w:w="0" w:type="auto"/>
            <w:vAlign w:val="center"/>
          </w:tcPr>
          <w:p w14:paraId="67E7EAD9">
            <w:pPr>
              <w:rPr>
                <w:rFonts w:ascii="宋体" w:hAnsi="宋体" w:cs="宋体"/>
                <w:sz w:val="30"/>
                <w:szCs w:val="30"/>
              </w:rPr>
            </w:pPr>
            <w:r>
              <w:rPr>
                <w:sz w:val="30"/>
                <w:szCs w:val="30"/>
              </w:rPr>
              <w:t>工程类</w:t>
            </w:r>
          </w:p>
        </w:tc>
      </w:tr>
      <w:tr w14:paraId="1DCC3A15">
        <w:tblPrEx>
          <w:tblCellMar>
            <w:top w:w="45" w:type="dxa"/>
            <w:left w:w="45" w:type="dxa"/>
            <w:bottom w:w="45" w:type="dxa"/>
            <w:right w:w="45" w:type="dxa"/>
          </w:tblCellMar>
        </w:tblPrEx>
        <w:trPr>
          <w:trHeight w:val="737" w:hRule="atLeast"/>
          <w:tblCellSpacing w:w="0" w:type="dxa"/>
          <w:jc w:val="center"/>
        </w:trPr>
        <w:tc>
          <w:tcPr>
            <w:tcW w:w="0" w:type="auto"/>
            <w:vAlign w:val="center"/>
          </w:tcPr>
          <w:p w14:paraId="2F8F093D">
            <w:pPr>
              <w:jc w:val="right"/>
              <w:rPr>
                <w:rFonts w:ascii="宋体" w:hAnsi="宋体" w:cs="宋体"/>
                <w:sz w:val="30"/>
                <w:szCs w:val="30"/>
              </w:rPr>
            </w:pPr>
            <w:r>
              <w:rPr>
                <w:sz w:val="30"/>
                <w:szCs w:val="30"/>
              </w:rPr>
              <w:t>采购方式：</w:t>
            </w:r>
          </w:p>
        </w:tc>
        <w:tc>
          <w:tcPr>
            <w:tcW w:w="0" w:type="auto"/>
            <w:vAlign w:val="center"/>
          </w:tcPr>
          <w:p w14:paraId="44AAE48F">
            <w:pPr>
              <w:rPr>
                <w:rFonts w:ascii="宋体" w:hAnsi="宋体" w:cs="宋体"/>
                <w:sz w:val="30"/>
                <w:szCs w:val="30"/>
              </w:rPr>
            </w:pPr>
            <w:r>
              <w:rPr>
                <w:sz w:val="30"/>
                <w:szCs w:val="30"/>
              </w:rPr>
              <w:t>公开招标</w:t>
            </w:r>
          </w:p>
        </w:tc>
      </w:tr>
      <w:tr w14:paraId="6F0C3A62">
        <w:tblPrEx>
          <w:tblCellMar>
            <w:top w:w="45" w:type="dxa"/>
            <w:left w:w="45" w:type="dxa"/>
            <w:bottom w:w="45" w:type="dxa"/>
            <w:right w:w="45" w:type="dxa"/>
          </w:tblCellMar>
        </w:tblPrEx>
        <w:trPr>
          <w:trHeight w:val="737" w:hRule="atLeast"/>
          <w:tblCellSpacing w:w="0" w:type="dxa"/>
          <w:jc w:val="center"/>
        </w:trPr>
        <w:tc>
          <w:tcPr>
            <w:tcW w:w="0" w:type="auto"/>
            <w:vAlign w:val="center"/>
          </w:tcPr>
          <w:p w14:paraId="4971428C">
            <w:pPr>
              <w:jc w:val="right"/>
              <w:rPr>
                <w:rFonts w:ascii="宋体" w:hAnsi="宋体" w:cs="宋体"/>
                <w:sz w:val="30"/>
                <w:szCs w:val="30"/>
              </w:rPr>
            </w:pPr>
            <w:r>
              <w:rPr>
                <w:sz w:val="30"/>
                <w:szCs w:val="30"/>
              </w:rPr>
              <w:t>货币类型：</w:t>
            </w:r>
          </w:p>
        </w:tc>
        <w:tc>
          <w:tcPr>
            <w:tcW w:w="0" w:type="auto"/>
            <w:vAlign w:val="center"/>
          </w:tcPr>
          <w:p w14:paraId="6C049AE4">
            <w:pPr>
              <w:rPr>
                <w:rFonts w:ascii="宋体" w:hAnsi="宋体" w:cs="宋体"/>
                <w:sz w:val="30"/>
                <w:szCs w:val="30"/>
              </w:rPr>
            </w:pPr>
            <w:r>
              <w:rPr>
                <w:sz w:val="30"/>
                <w:szCs w:val="30"/>
              </w:rPr>
              <w:t>人民币</w:t>
            </w:r>
          </w:p>
        </w:tc>
      </w:tr>
      <w:tr w14:paraId="78C741B2">
        <w:tblPrEx>
          <w:tblCellMar>
            <w:top w:w="45" w:type="dxa"/>
            <w:left w:w="45" w:type="dxa"/>
            <w:bottom w:w="45" w:type="dxa"/>
            <w:right w:w="45" w:type="dxa"/>
          </w:tblCellMar>
        </w:tblPrEx>
        <w:trPr>
          <w:trHeight w:val="737" w:hRule="atLeast"/>
          <w:tblCellSpacing w:w="0" w:type="dxa"/>
          <w:jc w:val="center"/>
        </w:trPr>
        <w:tc>
          <w:tcPr>
            <w:tcW w:w="0" w:type="auto"/>
            <w:vAlign w:val="center"/>
          </w:tcPr>
          <w:p w14:paraId="5D18297E">
            <w:pPr>
              <w:jc w:val="right"/>
              <w:rPr>
                <w:rFonts w:ascii="宋体" w:hAnsi="宋体" w:cs="宋体"/>
                <w:sz w:val="30"/>
                <w:szCs w:val="30"/>
              </w:rPr>
            </w:pPr>
            <w:r>
              <w:rPr>
                <w:sz w:val="30"/>
                <w:szCs w:val="30"/>
              </w:rPr>
              <w:t>评标方法：</w:t>
            </w:r>
          </w:p>
        </w:tc>
        <w:tc>
          <w:tcPr>
            <w:tcW w:w="0" w:type="auto"/>
            <w:vAlign w:val="center"/>
          </w:tcPr>
          <w:p w14:paraId="090C814F">
            <w:pPr>
              <w:rPr>
                <w:rFonts w:ascii="宋体" w:hAnsi="宋体" w:cs="宋体"/>
                <w:sz w:val="30"/>
                <w:szCs w:val="30"/>
              </w:rPr>
            </w:pPr>
            <w:r>
              <w:rPr>
                <w:sz w:val="30"/>
                <w:szCs w:val="30"/>
              </w:rPr>
              <w:t>综合评分法（新价格分算法）</w:t>
            </w:r>
          </w:p>
        </w:tc>
      </w:tr>
    </w:tbl>
    <w:p w14:paraId="4B15EDF9">
      <w:pPr>
        <w:pStyle w:val="49"/>
        <w:widowControl/>
        <w:spacing w:before="100" w:beforeAutospacing="1" w:after="100" w:afterAutospacing="1"/>
        <w:jc w:val="center"/>
        <w:outlineLvl w:val="1"/>
        <w:rPr>
          <w:rFonts w:ascii="黑体" w:hAnsi="黑体" w:eastAsia="黑体" w:cs="宋体"/>
          <w:kern w:val="0"/>
          <w:sz w:val="40"/>
          <w:szCs w:val="40"/>
        </w:rPr>
      </w:pPr>
      <w:r>
        <w:rPr>
          <w:rFonts w:hint="eastAsia" w:ascii="黑体" w:hAnsi="黑体" w:eastAsia="黑体" w:cs="宋体"/>
          <w:kern w:val="0"/>
          <w:sz w:val="40"/>
          <w:szCs w:val="40"/>
        </w:rPr>
        <w:t>资格性审查表</w:t>
      </w:r>
    </w:p>
    <w:tbl>
      <w:tblPr>
        <w:tblStyle w:val="5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138B57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BA63CE1">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41578F64">
            <w:pPr>
              <w:jc w:val="center"/>
              <w:rPr>
                <w:rFonts w:ascii="宋体" w:hAnsi="宋体" w:cs="宋体"/>
                <w:sz w:val="28"/>
                <w:szCs w:val="28"/>
              </w:rPr>
            </w:pPr>
            <w:r>
              <w:rPr>
                <w:sz w:val="28"/>
                <w:szCs w:val="28"/>
              </w:rPr>
              <w:t>内容</w:t>
            </w:r>
          </w:p>
        </w:tc>
      </w:tr>
      <w:tr w14:paraId="056C19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88F2797">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22125363">
            <w:pPr>
              <w:rPr>
                <w:rFonts w:ascii="宋体" w:hAnsi="宋体" w:cs="宋体"/>
                <w:szCs w:val="21"/>
              </w:rPr>
            </w:pPr>
            <w:r>
              <w:rPr>
                <w:szCs w:val="21"/>
              </w:rPr>
              <w:t>投标人具备招标文件所列的资格要求，</w:t>
            </w:r>
            <w:r>
              <w:rPr>
                <w:rFonts w:hint="eastAsia"/>
                <w:szCs w:val="21"/>
              </w:rPr>
              <w:t>且</w:t>
            </w:r>
            <w:r>
              <w:rPr>
                <w:szCs w:val="21"/>
              </w:rPr>
              <w:t>提交相应的资格证明资料（详见招标公告</w:t>
            </w:r>
            <w:r>
              <w:rPr>
                <w:rFonts w:ascii="宋体" w:hAnsi="宋体"/>
              </w:rPr>
              <w:t>申请人的资格要求</w:t>
            </w:r>
            <w:r>
              <w:rPr>
                <w:szCs w:val="21"/>
              </w:rPr>
              <w:t>）</w:t>
            </w:r>
          </w:p>
        </w:tc>
      </w:tr>
    </w:tbl>
    <w:p w14:paraId="4740022F">
      <w:pPr>
        <w:pStyle w:val="49"/>
        <w:widowControl/>
        <w:spacing w:before="280" w:after="100" w:afterAutospacing="1"/>
        <w:jc w:val="center"/>
        <w:outlineLvl w:val="1"/>
        <w:rPr>
          <w:rFonts w:ascii="黑体" w:hAnsi="黑体" w:eastAsia="黑体" w:cs="宋体"/>
          <w:kern w:val="0"/>
          <w:sz w:val="40"/>
          <w:szCs w:val="40"/>
        </w:rPr>
      </w:pPr>
      <w:r>
        <w:rPr>
          <w:rFonts w:hint="eastAsia" w:ascii="黑体" w:hAnsi="黑体" w:eastAsia="黑体" w:cs="宋体"/>
          <w:kern w:val="0"/>
          <w:sz w:val="40"/>
          <w:szCs w:val="40"/>
        </w:rPr>
        <w:t>符合性审查表</w:t>
      </w:r>
    </w:p>
    <w:tbl>
      <w:tblPr>
        <w:tblStyle w:val="5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416B4C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1E3690">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7E83AE3E">
            <w:pPr>
              <w:jc w:val="center"/>
              <w:rPr>
                <w:rFonts w:ascii="宋体" w:hAnsi="宋体" w:cs="宋体"/>
                <w:sz w:val="28"/>
                <w:szCs w:val="28"/>
              </w:rPr>
            </w:pPr>
            <w:r>
              <w:rPr>
                <w:sz w:val="28"/>
                <w:szCs w:val="28"/>
              </w:rPr>
              <w:t>内容</w:t>
            </w:r>
          </w:p>
        </w:tc>
      </w:tr>
      <w:tr w14:paraId="7A9F49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CAEB007">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7BAADD6C">
            <w:pPr>
              <w:rPr>
                <w:rFonts w:ascii="宋体" w:hAnsi="宋体" w:cs="宋体"/>
                <w:szCs w:val="21"/>
              </w:rPr>
            </w:pPr>
            <w:r>
              <w:rPr>
                <w:rFonts w:hint="eastAsia"/>
                <w:szCs w:val="21"/>
              </w:rPr>
              <w:t>未</w:t>
            </w:r>
            <w:r>
              <w:rPr>
                <w:szCs w:val="21"/>
              </w:rPr>
              <w:t>将一个包或一个标段的内容拆开投标</w:t>
            </w:r>
          </w:p>
        </w:tc>
      </w:tr>
      <w:tr w14:paraId="082765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EE2811B">
            <w:pPr>
              <w:jc w:val="center"/>
              <w:rPr>
                <w:rFonts w:ascii="宋体" w:hAnsi="宋体" w:cs="宋体"/>
                <w:szCs w:val="21"/>
              </w:rPr>
            </w:pPr>
            <w:r>
              <w:rPr>
                <w:szCs w:val="21"/>
              </w:rPr>
              <w:t>2</w:t>
            </w:r>
          </w:p>
        </w:tc>
        <w:tc>
          <w:tcPr>
            <w:tcW w:w="0" w:type="auto"/>
            <w:tcBorders>
              <w:top w:val="single" w:color="000000" w:sz="8" w:space="0"/>
              <w:left w:val="single" w:color="000000" w:sz="8" w:space="0"/>
              <w:bottom w:val="single" w:color="000000" w:sz="8" w:space="0"/>
              <w:right w:val="single" w:color="000000" w:sz="8" w:space="0"/>
            </w:tcBorders>
          </w:tcPr>
          <w:p w14:paraId="523BCAF7">
            <w:pPr>
              <w:rPr>
                <w:rFonts w:ascii="宋体" w:hAnsi="宋体" w:cs="宋体"/>
                <w:szCs w:val="21"/>
              </w:rPr>
            </w:pPr>
            <w:r>
              <w:rPr>
                <w:szCs w:val="21"/>
              </w:rPr>
              <w:t>对同一项目投标时，</w:t>
            </w:r>
            <w:r>
              <w:rPr>
                <w:rFonts w:hint="eastAsia"/>
                <w:szCs w:val="21"/>
              </w:rPr>
              <w:t>未</w:t>
            </w:r>
            <w:r>
              <w:rPr>
                <w:szCs w:val="21"/>
              </w:rPr>
              <w:t>提供两套</w:t>
            </w:r>
            <w:r>
              <w:rPr>
                <w:rFonts w:hint="eastAsia"/>
                <w:szCs w:val="21"/>
              </w:rPr>
              <w:t>及</w:t>
            </w:r>
            <w:r>
              <w:rPr>
                <w:szCs w:val="21"/>
              </w:rPr>
              <w:t>以上的投标方案（招标文件另有规定的除外）</w:t>
            </w:r>
          </w:p>
        </w:tc>
      </w:tr>
      <w:tr w14:paraId="048AE4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6B50852">
            <w:pPr>
              <w:jc w:val="center"/>
              <w:rPr>
                <w:rFonts w:ascii="宋体" w:hAnsi="宋体" w:cs="宋体"/>
                <w:szCs w:val="21"/>
              </w:rPr>
            </w:pPr>
            <w:r>
              <w:rPr>
                <w:szCs w:val="21"/>
              </w:rPr>
              <w:t>3</w:t>
            </w:r>
          </w:p>
        </w:tc>
        <w:tc>
          <w:tcPr>
            <w:tcW w:w="0" w:type="auto"/>
            <w:tcBorders>
              <w:top w:val="single" w:color="000000" w:sz="8" w:space="0"/>
              <w:left w:val="single" w:color="000000" w:sz="8" w:space="0"/>
              <w:bottom w:val="single" w:color="000000" w:sz="8" w:space="0"/>
              <w:right w:val="single" w:color="000000" w:sz="8" w:space="0"/>
            </w:tcBorders>
          </w:tcPr>
          <w:p w14:paraId="4CC8CBC5">
            <w:pPr>
              <w:rPr>
                <w:rFonts w:ascii="宋体" w:hAnsi="宋体" w:cs="宋体"/>
                <w:szCs w:val="21"/>
              </w:rPr>
            </w:pPr>
            <w:r>
              <w:rPr>
                <w:szCs w:val="21"/>
              </w:rPr>
              <w:t>分项报价或投标总价</w:t>
            </w:r>
            <w:r>
              <w:rPr>
                <w:rFonts w:hint="eastAsia"/>
                <w:szCs w:val="21"/>
              </w:rPr>
              <w:t>未超过相应</w:t>
            </w:r>
            <w:r>
              <w:rPr>
                <w:szCs w:val="21"/>
              </w:rPr>
              <w:t>预算金额</w:t>
            </w:r>
            <w:r>
              <w:rPr>
                <w:rFonts w:hint="eastAsia"/>
                <w:szCs w:val="21"/>
              </w:rPr>
              <w:t>或</w:t>
            </w:r>
            <w:r>
              <w:rPr>
                <w:szCs w:val="21"/>
              </w:rPr>
              <w:t>最高投标限价</w:t>
            </w:r>
          </w:p>
        </w:tc>
      </w:tr>
      <w:tr w14:paraId="5E2320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4632128">
            <w:pPr>
              <w:jc w:val="center"/>
              <w:rPr>
                <w:rFonts w:ascii="宋体" w:hAnsi="宋体" w:cs="宋体"/>
                <w:szCs w:val="21"/>
              </w:rPr>
            </w:pPr>
            <w:r>
              <w:rPr>
                <w:szCs w:val="21"/>
              </w:rPr>
              <w:t>4</w:t>
            </w:r>
          </w:p>
        </w:tc>
        <w:tc>
          <w:tcPr>
            <w:tcW w:w="0" w:type="auto"/>
            <w:tcBorders>
              <w:top w:val="single" w:color="000000" w:sz="8" w:space="0"/>
              <w:left w:val="single" w:color="000000" w:sz="8" w:space="0"/>
              <w:bottom w:val="single" w:color="000000" w:sz="8" w:space="0"/>
              <w:right w:val="single" w:color="000000" w:sz="8" w:space="0"/>
            </w:tcBorders>
          </w:tcPr>
          <w:p w14:paraId="12922174">
            <w:pPr>
              <w:rPr>
                <w:rFonts w:ascii="宋体" w:hAnsi="宋体" w:cs="宋体"/>
                <w:szCs w:val="21"/>
              </w:rPr>
            </w:pPr>
            <w:r>
              <w:rPr>
                <w:rFonts w:hint="eastAsia"/>
                <w:szCs w:val="21"/>
              </w:rPr>
              <w:t>如评标委员会认为投标人的报价明显低于其他通过符合性审查投标人的报价，有可能影响产品质量或者不能诚信履约的，应当要求其在评标现场合理的时间内提供书面说明，必要时提交相关证明材料；投标人应证明其报价合理性（评审委员会成员对投标人提供的说明材料判断不一致的，按照“少数服从多数”的原则确定评审委员会的意见）</w:t>
            </w:r>
          </w:p>
        </w:tc>
      </w:tr>
      <w:tr w14:paraId="1DFA77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DDE5779">
            <w:pPr>
              <w:jc w:val="center"/>
              <w:rPr>
                <w:rFonts w:ascii="宋体" w:hAnsi="宋体" w:cs="宋体"/>
                <w:szCs w:val="21"/>
              </w:rPr>
            </w:pPr>
            <w:r>
              <w:rPr>
                <w:szCs w:val="21"/>
              </w:rPr>
              <w:t>5</w:t>
            </w:r>
          </w:p>
        </w:tc>
        <w:tc>
          <w:tcPr>
            <w:tcW w:w="0" w:type="auto"/>
            <w:tcBorders>
              <w:top w:val="single" w:color="000000" w:sz="8" w:space="0"/>
              <w:left w:val="single" w:color="000000" w:sz="8" w:space="0"/>
              <w:bottom w:val="single" w:color="000000" w:sz="8" w:space="0"/>
              <w:right w:val="single" w:color="000000" w:sz="8" w:space="0"/>
            </w:tcBorders>
          </w:tcPr>
          <w:p w14:paraId="5428382F">
            <w:pPr>
              <w:rPr>
                <w:rFonts w:ascii="宋体" w:hAnsi="宋体" w:cs="宋体"/>
                <w:szCs w:val="21"/>
              </w:rPr>
            </w:pPr>
            <w:r>
              <w:rPr>
                <w:szCs w:val="21"/>
              </w:rPr>
              <w:t>投标报价</w:t>
            </w:r>
            <w:r>
              <w:rPr>
                <w:rFonts w:hint="eastAsia"/>
                <w:szCs w:val="21"/>
              </w:rPr>
              <w:t>满足招标文件报价要求且无</w:t>
            </w:r>
            <w:r>
              <w:rPr>
                <w:szCs w:val="21"/>
              </w:rPr>
              <w:t>缺漏项目</w:t>
            </w:r>
            <w:r>
              <w:rPr>
                <w:rFonts w:ascii="宋体" w:hAnsi="宋体" w:cs="宋体"/>
                <w:szCs w:val="21"/>
              </w:rPr>
              <w:t xml:space="preserve"> </w:t>
            </w:r>
          </w:p>
        </w:tc>
      </w:tr>
      <w:tr w14:paraId="72BE80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74328AA">
            <w:pPr>
              <w:jc w:val="center"/>
              <w:rPr>
                <w:szCs w:val="21"/>
              </w:rPr>
            </w:pPr>
            <w:r>
              <w:rPr>
                <w:rFonts w:hint="eastAsia"/>
                <w:szCs w:val="21"/>
              </w:rPr>
              <w:t>6</w:t>
            </w:r>
          </w:p>
        </w:tc>
        <w:tc>
          <w:tcPr>
            <w:tcW w:w="0" w:type="auto"/>
            <w:tcBorders>
              <w:top w:val="single" w:color="000000" w:sz="8" w:space="0"/>
              <w:left w:val="single" w:color="000000" w:sz="8" w:space="0"/>
              <w:bottom w:val="single" w:color="000000" w:sz="8" w:space="0"/>
              <w:right w:val="single" w:color="000000" w:sz="8" w:space="0"/>
            </w:tcBorders>
          </w:tcPr>
          <w:p w14:paraId="0D7FE985">
            <w:pPr>
              <w:rPr>
                <w:szCs w:val="21"/>
              </w:rPr>
            </w:pPr>
            <w:r>
              <w:rPr>
                <w:rFonts w:hint="eastAsia"/>
                <w:szCs w:val="21"/>
              </w:rPr>
              <w:t>投标文件不存在</w:t>
            </w:r>
            <w:r>
              <w:rPr>
                <w:rFonts w:hint="eastAsia" w:ascii="Calibri" w:hAnsi="Calibri"/>
                <w:szCs w:val="22"/>
              </w:rPr>
              <w:t>对招标文件规定的货物或服务或工程量清单的项目或数量进行修改，评标委员会判定投标响应不满足采购需求的情形</w:t>
            </w:r>
          </w:p>
        </w:tc>
      </w:tr>
      <w:tr w14:paraId="4DD134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4B2D4C8">
            <w:pPr>
              <w:jc w:val="center"/>
              <w:rPr>
                <w:rFonts w:ascii="宋体" w:hAnsi="宋体" w:cs="宋体"/>
                <w:szCs w:val="21"/>
              </w:rPr>
            </w:pPr>
            <w:r>
              <w:rPr>
                <w:rFonts w:hint="eastAsia"/>
                <w:szCs w:val="21"/>
              </w:rPr>
              <w:t>7</w:t>
            </w:r>
          </w:p>
        </w:tc>
        <w:tc>
          <w:tcPr>
            <w:tcW w:w="0" w:type="auto"/>
            <w:tcBorders>
              <w:top w:val="single" w:color="000000" w:sz="8" w:space="0"/>
              <w:left w:val="single" w:color="000000" w:sz="8" w:space="0"/>
              <w:bottom w:val="single" w:color="000000" w:sz="8" w:space="0"/>
              <w:right w:val="single" w:color="000000" w:sz="8" w:space="0"/>
            </w:tcBorders>
          </w:tcPr>
          <w:p w14:paraId="300EC3F6">
            <w:pPr>
              <w:rPr>
                <w:rFonts w:ascii="宋体" w:hAnsi="宋体" w:cs="宋体"/>
                <w:szCs w:val="21"/>
              </w:rPr>
            </w:pPr>
            <w:r>
              <w:rPr>
                <w:szCs w:val="21"/>
              </w:rPr>
              <w:t>所投产品、工程、服务在商务、技术等方面实质性满足招标文件要求（是否实质性满足招标文件要求，由评标委员会根据《</w:t>
            </w:r>
            <w:r>
              <w:rPr>
                <w:rFonts w:hint="eastAsia"/>
                <w:szCs w:val="21"/>
              </w:rPr>
              <w:t>实质性条款响应情况表</w:t>
            </w:r>
            <w:r>
              <w:rPr>
                <w:szCs w:val="21"/>
              </w:rPr>
              <w:t>》做出评判）</w:t>
            </w:r>
          </w:p>
        </w:tc>
      </w:tr>
      <w:tr w14:paraId="60FCEE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D68547E">
            <w:pPr>
              <w:jc w:val="center"/>
              <w:rPr>
                <w:rFonts w:ascii="宋体" w:hAnsi="宋体" w:cs="宋体"/>
                <w:szCs w:val="21"/>
              </w:rPr>
            </w:pPr>
            <w:r>
              <w:rPr>
                <w:rFonts w:hint="eastAsia"/>
                <w:szCs w:val="21"/>
              </w:rPr>
              <w:t>8</w:t>
            </w:r>
          </w:p>
        </w:tc>
        <w:tc>
          <w:tcPr>
            <w:tcW w:w="0" w:type="auto"/>
            <w:tcBorders>
              <w:top w:val="single" w:color="000000" w:sz="8" w:space="0"/>
              <w:left w:val="single" w:color="000000" w:sz="8" w:space="0"/>
              <w:bottom w:val="single" w:color="000000" w:sz="8" w:space="0"/>
              <w:right w:val="single" w:color="000000" w:sz="8" w:space="0"/>
            </w:tcBorders>
          </w:tcPr>
          <w:p w14:paraId="34986233">
            <w:pPr>
              <w:rPr>
                <w:rFonts w:ascii="宋体" w:hAnsi="宋体" w:cs="宋体"/>
                <w:szCs w:val="21"/>
              </w:rPr>
            </w:pPr>
            <w:r>
              <w:rPr>
                <w:szCs w:val="21"/>
              </w:rPr>
              <w:t>按招标文件所提供的样式填写《投标函》；按招标文件所提供的《政府采购投标及履约承诺函》进行承诺；</w:t>
            </w:r>
            <w:r>
              <w:rPr>
                <w:rFonts w:hint="eastAsia"/>
                <w:szCs w:val="21"/>
              </w:rPr>
              <w:t>并</w:t>
            </w:r>
            <w:r>
              <w:rPr>
                <w:szCs w:val="21"/>
              </w:rPr>
              <w:t>按招标文件对投标文件组成的要求提供投标文件（投标文件组成完整）</w:t>
            </w:r>
          </w:p>
        </w:tc>
      </w:tr>
      <w:tr w14:paraId="73B0D7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11ECB2E">
            <w:pPr>
              <w:jc w:val="center"/>
              <w:rPr>
                <w:rFonts w:ascii="宋体" w:hAnsi="宋体" w:cs="宋体"/>
                <w:szCs w:val="21"/>
              </w:rPr>
            </w:pPr>
            <w:r>
              <w:rPr>
                <w:rFonts w:hint="eastAsia"/>
                <w:szCs w:val="21"/>
              </w:rPr>
              <w:t>9</w:t>
            </w:r>
          </w:p>
        </w:tc>
        <w:tc>
          <w:tcPr>
            <w:tcW w:w="0" w:type="auto"/>
            <w:tcBorders>
              <w:top w:val="single" w:color="000000" w:sz="8" w:space="0"/>
              <w:left w:val="single" w:color="000000" w:sz="8" w:space="0"/>
              <w:bottom w:val="single" w:color="000000" w:sz="8" w:space="0"/>
              <w:right w:val="single" w:color="000000" w:sz="8" w:space="0"/>
            </w:tcBorders>
          </w:tcPr>
          <w:p w14:paraId="7AF22756">
            <w:pPr>
              <w:rPr>
                <w:rFonts w:ascii="宋体" w:hAnsi="宋体" w:cs="宋体"/>
                <w:szCs w:val="21"/>
              </w:rPr>
            </w:pPr>
            <w:r>
              <w:rPr>
                <w:rFonts w:hint="eastAsia"/>
                <w:szCs w:val="21"/>
              </w:rPr>
              <w:t>投标文件不存在列放位置错误，导致属于信息公开内容没有被公开的情形</w:t>
            </w:r>
          </w:p>
        </w:tc>
      </w:tr>
      <w:tr w14:paraId="3B1825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3DCF495">
            <w:pPr>
              <w:jc w:val="center"/>
              <w:rPr>
                <w:rFonts w:ascii="宋体" w:hAnsi="宋体" w:cs="宋体"/>
                <w:szCs w:val="21"/>
              </w:rPr>
            </w:pPr>
            <w:r>
              <w:rPr>
                <w:rFonts w:hint="eastAsia"/>
                <w:szCs w:val="21"/>
              </w:rPr>
              <w:t>10</w:t>
            </w:r>
          </w:p>
        </w:tc>
        <w:tc>
          <w:tcPr>
            <w:tcW w:w="0" w:type="auto"/>
            <w:tcBorders>
              <w:top w:val="single" w:color="000000" w:sz="8" w:space="0"/>
              <w:left w:val="single" w:color="000000" w:sz="8" w:space="0"/>
              <w:bottom w:val="single" w:color="000000" w:sz="8" w:space="0"/>
              <w:right w:val="single" w:color="000000" w:sz="8" w:space="0"/>
            </w:tcBorders>
          </w:tcPr>
          <w:p w14:paraId="29CCEEE7">
            <w:pPr>
              <w:rPr>
                <w:rFonts w:ascii="宋体" w:hAnsi="宋体" w:cs="宋体"/>
                <w:szCs w:val="21"/>
              </w:rPr>
            </w:pPr>
            <w:r>
              <w:rPr>
                <w:rFonts w:ascii="Calibri" w:hAnsi="Calibri"/>
                <w:szCs w:val="21"/>
              </w:rPr>
              <w:t>投标文件</w:t>
            </w:r>
            <w:r>
              <w:rPr>
                <w:rFonts w:hint="eastAsia" w:ascii="Calibri" w:hAnsi="Calibri"/>
                <w:szCs w:val="21"/>
              </w:rPr>
              <w:t>不存在</w:t>
            </w:r>
            <w:r>
              <w:rPr>
                <w:rFonts w:ascii="Calibri" w:hAnsi="Calibri"/>
                <w:szCs w:val="21"/>
              </w:rPr>
              <w:t>电子文档带病毒</w:t>
            </w:r>
            <w:r>
              <w:rPr>
                <w:rFonts w:hint="eastAsia" w:ascii="Calibri" w:hAnsi="Calibri"/>
                <w:szCs w:val="21"/>
              </w:rPr>
              <w:t>或使</w:t>
            </w:r>
            <w:r>
              <w:rPr>
                <w:rFonts w:ascii="Calibri" w:hAnsi="Calibri"/>
                <w:szCs w:val="21"/>
              </w:rPr>
              <w:t>用</w:t>
            </w:r>
            <w:r>
              <w:rPr>
                <w:rFonts w:hint="eastAsia" w:ascii="Calibri" w:hAnsi="Calibri"/>
                <w:szCs w:val="21"/>
              </w:rPr>
              <w:t>其他投标人</w:t>
            </w:r>
            <w:r>
              <w:rPr>
                <w:rFonts w:ascii="Calibri" w:hAnsi="Calibri"/>
                <w:szCs w:val="21"/>
              </w:rPr>
              <w:t>的电子密钥</w:t>
            </w:r>
            <w:r>
              <w:rPr>
                <w:rFonts w:hint="eastAsia" w:ascii="Calibri" w:hAnsi="Calibri"/>
                <w:szCs w:val="22"/>
              </w:rPr>
              <w:t>或电子营业执照</w:t>
            </w:r>
            <w:r>
              <w:rPr>
                <w:rFonts w:ascii="Calibri" w:hAnsi="Calibri"/>
                <w:szCs w:val="21"/>
              </w:rPr>
              <w:t>进行加密</w:t>
            </w:r>
            <w:r>
              <w:rPr>
                <w:rFonts w:hint="eastAsia" w:ascii="Calibri" w:hAnsi="Calibri"/>
                <w:szCs w:val="21"/>
              </w:rPr>
              <w:t>的情形</w:t>
            </w:r>
          </w:p>
        </w:tc>
      </w:tr>
      <w:tr w14:paraId="15EBE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4ED00DD">
            <w:pPr>
              <w:jc w:val="center"/>
              <w:rPr>
                <w:rFonts w:ascii="宋体" w:hAnsi="宋体" w:cs="宋体"/>
                <w:szCs w:val="21"/>
              </w:rPr>
            </w:pPr>
            <w:r>
              <w:rPr>
                <w:rFonts w:hint="eastAsia"/>
                <w:szCs w:val="21"/>
              </w:rPr>
              <w:t>11</w:t>
            </w:r>
          </w:p>
        </w:tc>
        <w:tc>
          <w:tcPr>
            <w:tcW w:w="0" w:type="auto"/>
            <w:tcBorders>
              <w:top w:val="single" w:color="000000" w:sz="8" w:space="0"/>
              <w:left w:val="single" w:color="000000" w:sz="8" w:space="0"/>
              <w:bottom w:val="single" w:color="000000" w:sz="8" w:space="0"/>
              <w:right w:val="single" w:color="000000" w:sz="8" w:space="0"/>
            </w:tcBorders>
          </w:tcPr>
          <w:p w14:paraId="7659DE8F">
            <w:pPr>
              <w:rPr>
                <w:rFonts w:ascii="宋体" w:hAnsi="宋体" w:cs="宋体"/>
                <w:szCs w:val="21"/>
              </w:rPr>
            </w:pPr>
            <w:r>
              <w:rPr>
                <w:rFonts w:ascii="宋体" w:hAnsi="宋体"/>
                <w:szCs w:val="22"/>
              </w:rPr>
              <w:t>不同投标</w:t>
            </w:r>
            <w:r>
              <w:rPr>
                <w:rFonts w:hint="eastAsia" w:ascii="宋体" w:hAnsi="宋体"/>
                <w:szCs w:val="22"/>
              </w:rPr>
              <w:t>人的</w:t>
            </w:r>
            <w:r>
              <w:rPr>
                <w:rFonts w:ascii="宋体" w:hAnsi="宋体"/>
                <w:szCs w:val="22"/>
              </w:rPr>
              <w:t>投标文件</w:t>
            </w:r>
            <w:r>
              <w:rPr>
                <w:rFonts w:hint="eastAsia" w:ascii="宋体" w:hAnsi="宋体"/>
                <w:szCs w:val="22"/>
              </w:rPr>
              <w:t>不存在</w:t>
            </w:r>
            <w:r>
              <w:rPr>
                <w:rFonts w:ascii="宋体" w:hAnsi="宋体"/>
                <w:szCs w:val="22"/>
              </w:rPr>
              <w:t>“文件制作机器码”一致</w:t>
            </w:r>
            <w:r>
              <w:rPr>
                <w:rFonts w:hint="eastAsia" w:ascii="宋体" w:hAnsi="宋体"/>
                <w:szCs w:val="22"/>
              </w:rPr>
              <w:t>或</w:t>
            </w:r>
            <w:r>
              <w:rPr>
                <w:rFonts w:hint="eastAsia"/>
              </w:rPr>
              <w:t>“文件创建标识码”一致的情形</w:t>
            </w:r>
          </w:p>
        </w:tc>
      </w:tr>
      <w:tr w14:paraId="7A33A6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9688F5B">
            <w:pPr>
              <w:jc w:val="center"/>
              <w:rPr>
                <w:rFonts w:ascii="宋体" w:hAnsi="宋体" w:cs="宋体"/>
                <w:szCs w:val="21"/>
              </w:rPr>
            </w:pPr>
            <w:r>
              <w:rPr>
                <w:rFonts w:hint="eastAsia"/>
                <w:szCs w:val="21"/>
              </w:rPr>
              <w:t>12</w:t>
            </w:r>
          </w:p>
        </w:tc>
        <w:tc>
          <w:tcPr>
            <w:tcW w:w="0" w:type="auto"/>
            <w:tcBorders>
              <w:top w:val="single" w:color="000000" w:sz="8" w:space="0"/>
              <w:left w:val="single" w:color="000000" w:sz="8" w:space="0"/>
              <w:bottom w:val="single" w:color="000000" w:sz="8" w:space="0"/>
              <w:right w:val="single" w:color="000000" w:sz="8" w:space="0"/>
            </w:tcBorders>
          </w:tcPr>
          <w:p w14:paraId="24D17DC9">
            <w:pPr>
              <w:rPr>
                <w:rFonts w:ascii="宋体" w:hAnsi="宋体" w:cs="宋体"/>
                <w:szCs w:val="21"/>
              </w:rPr>
            </w:pPr>
            <w:r>
              <w:rPr>
                <w:rFonts w:hint="eastAsia"/>
              </w:rPr>
              <w:t>法律、法规、规章、规范性文件规定的其他情形</w:t>
            </w:r>
          </w:p>
        </w:tc>
      </w:tr>
    </w:tbl>
    <w:p w14:paraId="4C343AC7">
      <w:pPr>
        <w:spacing w:line="324" w:lineRule="auto"/>
        <w:ind w:firstLine="420"/>
        <w:rPr>
          <w:b/>
          <w:color w:val="FF0000"/>
          <w:szCs w:val="21"/>
        </w:rPr>
      </w:pPr>
      <w:r>
        <w:rPr>
          <w:rFonts w:hint="eastAsia"/>
          <w:b/>
          <w:color w:val="FF0000"/>
          <w:szCs w:val="21"/>
        </w:rPr>
        <w:t>特别说明：</w:t>
      </w:r>
    </w:p>
    <w:p w14:paraId="0BBAF1DB">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1、投标人须在开标当日的开标时间至解密截止时间内完成投标文件在线解密，逾期未解密的作无效处理。</w:t>
      </w:r>
    </w:p>
    <w:p w14:paraId="2ED68AFF">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2、投标人不符合《资格性审查表》或《符合性审查表》中任一情形的，初审不通过，投标无效。</w:t>
      </w:r>
    </w:p>
    <w:p w14:paraId="6598B8D8">
      <w:pPr>
        <w:spacing w:line="324" w:lineRule="auto"/>
        <w:ind w:firstLine="420"/>
        <w:rPr>
          <w:rFonts w:asciiTheme="minorEastAsia" w:hAnsiTheme="minorEastAsia" w:eastAsiaTheme="minorEastAsia"/>
          <w:b/>
          <w:color w:val="FF0000"/>
          <w:szCs w:val="21"/>
        </w:rPr>
      </w:pPr>
    </w:p>
    <w:p w14:paraId="618D9860">
      <w:pPr>
        <w:pStyle w:val="49"/>
        <w:widowControl/>
        <w:spacing w:before="100" w:beforeAutospacing="1" w:after="100" w:afterAutospacing="1"/>
        <w:jc w:val="center"/>
        <w:outlineLvl w:val="1"/>
        <w:rPr>
          <w:rFonts w:ascii="黑体" w:hAnsi="黑体" w:eastAsia="黑体" w:cs="宋体"/>
          <w:kern w:val="0"/>
          <w:sz w:val="40"/>
          <w:szCs w:val="40"/>
        </w:rPr>
      </w:pPr>
      <w:r>
        <w:rPr>
          <w:rFonts w:hint="eastAsia" w:ascii="黑体" w:hAnsi="黑体" w:eastAsia="黑体" w:cs="宋体"/>
          <w:kern w:val="0"/>
          <w:sz w:val="40"/>
          <w:szCs w:val="40"/>
        </w:rPr>
        <w:t>评标信息</w:t>
      </w:r>
    </w:p>
    <w:tbl>
      <w:tblPr>
        <w:tblStyle w:val="55"/>
        <w:tblW w:w="9072" w:type="dxa"/>
        <w:jc w:val="center"/>
        <w:tblCellSpacing w:w="0" w:type="dxa"/>
        <w:tblLayout w:type="autofit"/>
        <w:tblCellMar>
          <w:top w:w="45" w:type="dxa"/>
          <w:left w:w="45" w:type="dxa"/>
          <w:bottom w:w="45" w:type="dxa"/>
          <w:right w:w="45" w:type="dxa"/>
        </w:tblCellMar>
      </w:tblPr>
      <w:tblGrid>
        <w:gridCol w:w="8824"/>
        <w:gridCol w:w="248"/>
      </w:tblGrid>
      <w:tr w14:paraId="513161A9">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783D65B3">
            <w:pPr>
              <w:spacing w:line="360" w:lineRule="auto"/>
              <w:rPr>
                <w:rFonts w:ascii="宋体" w:hAnsi="宋体" w:cs="宋体"/>
                <w:b/>
                <w:bCs/>
                <w:szCs w:val="21"/>
              </w:rPr>
            </w:pPr>
            <w:r>
              <w:rPr>
                <w:rFonts w:hint="eastAsia" w:ascii="宋体" w:hAnsi="宋体" w:cs="宋体"/>
                <w:b/>
                <w:bCs/>
                <w:szCs w:val="21"/>
              </w:rPr>
              <w:t>评标方法：综合评分法（新价格分算法）</w:t>
            </w:r>
          </w:p>
        </w:tc>
        <w:tc>
          <w:tcPr>
            <w:tcW w:w="0" w:type="auto"/>
            <w:tcBorders>
              <w:top w:val="nil"/>
              <w:left w:val="nil"/>
              <w:bottom w:val="nil"/>
              <w:right w:val="nil"/>
            </w:tcBorders>
            <w:vAlign w:val="center"/>
          </w:tcPr>
          <w:p w14:paraId="5CE13076">
            <w:pPr>
              <w:spacing w:line="360" w:lineRule="auto"/>
              <w:jc w:val="right"/>
              <w:rPr>
                <w:rFonts w:ascii="宋体" w:hAnsi="宋体" w:cs="宋体"/>
                <w:b/>
                <w:bCs/>
                <w:szCs w:val="21"/>
              </w:rPr>
            </w:pPr>
          </w:p>
        </w:tc>
      </w:tr>
      <w:tr w14:paraId="633F8145">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14:paraId="6A0406C9">
            <w:pPr>
              <w:pStyle w:val="49"/>
              <w:spacing w:line="360" w:lineRule="auto"/>
              <w:ind w:firstLine="420"/>
              <w:rPr>
                <w:rFonts w:ascii="宋体" w:hAnsi="宋体" w:cs="宋体"/>
                <w:sz w:val="21"/>
                <w:szCs w:val="21"/>
              </w:rPr>
            </w:pPr>
            <w:r>
              <w:rPr>
                <w:rFonts w:hint="eastAsia" w:ascii="宋体" w:hAnsi="宋体" w:cs="宋体"/>
                <w:sz w:val="21"/>
                <w:szCs w:val="21"/>
              </w:rPr>
              <w:t xml:space="preserve">综合评分法，是指在最大限度地满足招标文件实质性要求的前提下，按照招标文件中规定的各项因素进行综合评审，评标总得分排名前列的投标人，作为推荐的候选中标供应商。 </w:t>
            </w:r>
          </w:p>
          <w:p w14:paraId="493B01F8">
            <w:pPr>
              <w:pStyle w:val="49"/>
              <w:spacing w:line="360" w:lineRule="auto"/>
              <w:ind w:firstLine="420"/>
              <w:rPr>
                <w:rFonts w:ascii="宋体" w:hAnsi="宋体" w:cs="宋体"/>
                <w:sz w:val="21"/>
                <w:szCs w:val="21"/>
              </w:rPr>
            </w:pPr>
          </w:p>
          <w:p w14:paraId="47702C7F">
            <w:pPr>
              <w:pStyle w:val="49"/>
              <w:spacing w:line="360" w:lineRule="auto"/>
              <w:ind w:firstLine="420"/>
              <w:rPr>
                <w:rFonts w:ascii="宋体" w:hAnsi="宋体" w:cs="宋体"/>
                <w:sz w:val="21"/>
                <w:szCs w:val="21"/>
              </w:rPr>
            </w:pPr>
            <w:r>
              <w:rPr>
                <w:rFonts w:hint="eastAsia" w:ascii="宋体" w:hAnsi="宋体" w:cs="宋体"/>
                <w:sz w:val="21"/>
                <w:szCs w:val="21"/>
              </w:rPr>
              <w:t>价格分计算方法：</w:t>
            </w:r>
          </w:p>
          <w:p w14:paraId="4E139B37">
            <w:pPr>
              <w:pStyle w:val="49"/>
              <w:spacing w:line="360" w:lineRule="auto"/>
              <w:ind w:left="420"/>
              <w:rPr>
                <w:rFonts w:ascii="宋体" w:hAnsi="宋体" w:cs="宋体"/>
                <w:sz w:val="21"/>
                <w:szCs w:val="21"/>
              </w:rPr>
            </w:pPr>
          </w:p>
          <w:p w14:paraId="5C4F932D">
            <w:pPr>
              <w:pStyle w:val="49"/>
              <w:spacing w:line="360" w:lineRule="auto"/>
              <w:ind w:left="420"/>
              <w:rPr>
                <w:rFonts w:ascii="宋体" w:hAnsi="宋体" w:cs="宋体"/>
                <w:sz w:val="21"/>
                <w:szCs w:val="21"/>
              </w:rPr>
            </w:pPr>
            <w:r>
              <w:rPr>
                <w:rFonts w:hint="eastAsia" w:ascii="宋体" w:hAnsi="宋体" w:cs="宋体"/>
                <w:sz w:val="21"/>
                <w:szCs w:val="21"/>
              </w:rPr>
              <w:t xml:space="preserve">采用低价优先法计算，即满足招标文件要求且投标价格最低的投标报价为评标基准价，其价格分为满分。其他投标人的价格分统一按照下列公式计算： </w:t>
            </w:r>
            <w:r>
              <w:rPr>
                <w:rFonts w:hint="eastAsia" w:ascii="宋体" w:hAnsi="宋体" w:cs="宋体"/>
                <w:sz w:val="21"/>
                <w:szCs w:val="21"/>
              </w:rPr>
              <w:br w:type="textWrapping"/>
            </w:r>
            <w:r>
              <w:rPr>
                <w:rFonts w:hint="eastAsia" w:ascii="宋体" w:hAnsi="宋体" w:cs="宋体"/>
                <w:sz w:val="21"/>
                <w:szCs w:val="21"/>
              </w:rPr>
              <w:t xml:space="preserve">投标报价得分=(评标基准价／投标报价)×100 </w:t>
            </w:r>
            <w:r>
              <w:rPr>
                <w:rFonts w:hint="eastAsia" w:ascii="宋体" w:hAnsi="宋体" w:cs="宋体"/>
                <w:sz w:val="21"/>
                <w:szCs w:val="21"/>
              </w:rPr>
              <w:br w:type="textWrapping"/>
            </w:r>
            <w:r>
              <w:rPr>
                <w:rFonts w:hint="eastAsia" w:ascii="宋体" w:hAnsi="宋体" w:cs="宋体"/>
                <w:sz w:val="21"/>
                <w:szCs w:val="21"/>
              </w:rPr>
              <w:t xml:space="preserve">评标总得分＝F1×A1＋F2×A2＋……＋Fn×An </w:t>
            </w:r>
            <w:r>
              <w:rPr>
                <w:rFonts w:hint="eastAsia" w:ascii="宋体" w:hAnsi="宋体" w:cs="宋体"/>
                <w:sz w:val="21"/>
                <w:szCs w:val="21"/>
              </w:rPr>
              <w:br w:type="textWrapping"/>
            </w:r>
            <w:r>
              <w:rPr>
                <w:rFonts w:hint="eastAsia" w:ascii="宋体" w:hAnsi="宋体" w:cs="宋体"/>
                <w:sz w:val="21"/>
                <w:szCs w:val="21"/>
              </w:rPr>
              <w:t xml:space="preserve">F1、F2……Fn分别为各项评审因素的得分； </w:t>
            </w:r>
            <w:r>
              <w:rPr>
                <w:rFonts w:hint="eastAsia" w:ascii="宋体" w:hAnsi="宋体" w:cs="宋体"/>
                <w:sz w:val="21"/>
                <w:szCs w:val="21"/>
              </w:rPr>
              <w:br w:type="textWrapping"/>
            </w:r>
            <w:r>
              <w:rPr>
                <w:rFonts w:hint="eastAsia" w:ascii="宋体" w:hAnsi="宋体" w:cs="宋体"/>
                <w:sz w:val="21"/>
                <w:szCs w:val="21"/>
              </w:rPr>
              <w:t xml:space="preserve">A1、A2、……An 分别为各项评审因素所占的权重(A1＋A2＋……＋An＝1)。 </w:t>
            </w:r>
            <w:r>
              <w:rPr>
                <w:rFonts w:hint="eastAsia" w:ascii="宋体" w:hAnsi="宋体" w:cs="宋体"/>
                <w:sz w:val="21"/>
                <w:szCs w:val="21"/>
              </w:rPr>
              <w:br w:type="textWrapping"/>
            </w:r>
            <w:r>
              <w:rPr>
                <w:rFonts w:hint="eastAsia" w:ascii="宋体" w:hAnsi="宋体" w:cs="宋体"/>
                <w:sz w:val="21"/>
                <w:szCs w:val="21"/>
              </w:rPr>
              <w:t xml:space="preserve">评标过程中，不得去掉报价中的最高报价和最低报价。 </w:t>
            </w:r>
            <w:r>
              <w:rPr>
                <w:rFonts w:hint="eastAsia" w:ascii="宋体" w:hAnsi="宋体" w:cs="宋体"/>
                <w:sz w:val="21"/>
                <w:szCs w:val="21"/>
              </w:rPr>
              <w:br w:type="textWrapping"/>
            </w:r>
            <w:r>
              <w:rPr>
                <w:rFonts w:hint="eastAsia" w:ascii="宋体" w:hAnsi="宋体" w:cs="宋体"/>
                <w:sz w:val="21"/>
                <w:szCs w:val="21"/>
              </w:rPr>
              <w:t xml:space="preserve">因落实政府采购政策进行价格调整的，以调整后的价格计算评标基准价和投标报价。 </w:t>
            </w:r>
          </w:p>
        </w:tc>
      </w:tr>
    </w:tbl>
    <w:p w14:paraId="4AF65C16">
      <w:pPr>
        <w:rPr>
          <w:vanish/>
        </w:rPr>
      </w:pPr>
    </w:p>
    <w:tbl>
      <w:tblPr>
        <w:tblStyle w:val="5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2835"/>
        <w:gridCol w:w="681"/>
        <w:gridCol w:w="4196"/>
      </w:tblGrid>
      <w:tr w14:paraId="583B71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AF86C36">
            <w:pPr>
              <w:spacing w:line="360" w:lineRule="auto"/>
              <w:jc w:val="center"/>
              <w:rPr>
                <w:rFonts w:ascii="宋体" w:hAnsi="宋体" w:cs="宋体"/>
                <w:b/>
                <w:bCs/>
                <w:szCs w:val="21"/>
              </w:rPr>
            </w:pPr>
            <w:r>
              <w:rPr>
                <w:rFonts w:hint="eastAsia" w:ascii="宋体" w:hAnsi="宋体" w:cs="宋体"/>
                <w:b/>
                <w:bCs/>
                <w:szCs w:val="21"/>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6414D9F5">
            <w:pPr>
              <w:spacing w:line="360" w:lineRule="auto"/>
              <w:jc w:val="center"/>
              <w:rPr>
                <w:rFonts w:ascii="宋体" w:hAnsi="宋体" w:cs="宋体"/>
                <w:b/>
                <w:bCs/>
                <w:szCs w:val="21"/>
              </w:rPr>
            </w:pPr>
            <w:r>
              <w:rPr>
                <w:rFonts w:hint="eastAsia" w:ascii="宋体" w:hAnsi="宋体" w:cs="宋体"/>
                <w:b/>
                <w:bCs/>
                <w:szCs w:val="21"/>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31B91B5">
            <w:pPr>
              <w:spacing w:line="360" w:lineRule="auto"/>
              <w:jc w:val="center"/>
              <w:rPr>
                <w:rFonts w:ascii="宋体" w:hAnsi="宋体" w:cs="宋体"/>
                <w:b/>
                <w:bCs/>
                <w:szCs w:val="21"/>
              </w:rPr>
            </w:pPr>
            <w:r>
              <w:rPr>
                <w:rFonts w:hint="eastAsia" w:ascii="宋体" w:hAnsi="宋体" w:cs="宋体"/>
                <w:b/>
                <w:bCs/>
                <w:szCs w:val="21"/>
              </w:rPr>
              <w:t>权重(%)</w:t>
            </w:r>
          </w:p>
        </w:tc>
      </w:tr>
      <w:tr w14:paraId="668AE9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right w:val="single" w:color="000000" w:sz="8" w:space="0"/>
            </w:tcBorders>
          </w:tcPr>
          <w:p w14:paraId="303D9C38">
            <w:pPr>
              <w:wordWrap w:val="0"/>
              <w:spacing w:line="360" w:lineRule="auto"/>
              <w:jc w:val="center"/>
              <w:rPr>
                <w:rFonts w:ascii="宋体" w:hAnsi="宋体" w:cs="宋体"/>
                <w:b/>
                <w:bCs/>
                <w:color w:val="0000FF"/>
                <w:szCs w:val="21"/>
              </w:rPr>
            </w:pPr>
            <w:r>
              <w:rPr>
                <w:rFonts w:hint="eastAsia" w:ascii="宋体" w:hAnsi="宋体" w:cs="宋体"/>
                <w:b/>
                <w:bCs/>
                <w:color w:val="0000FF"/>
                <w:szCs w:val="21"/>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27E12BEA">
            <w:pPr>
              <w:wordWrap w:val="0"/>
              <w:spacing w:line="360" w:lineRule="auto"/>
              <w:jc w:val="center"/>
              <w:rPr>
                <w:rFonts w:ascii="宋体" w:hAnsi="宋体" w:cs="宋体"/>
                <w:b/>
                <w:bCs/>
                <w:color w:val="0000FF"/>
                <w:szCs w:val="21"/>
              </w:rPr>
            </w:pPr>
            <w:r>
              <w:rPr>
                <w:rFonts w:hint="eastAsia" w:ascii="宋体" w:hAnsi="宋体" w:cs="宋体"/>
                <w:b/>
                <w:bCs/>
                <w:color w:val="0000FF"/>
                <w:szCs w:val="21"/>
              </w:rPr>
              <w:t>价格</w:t>
            </w:r>
          </w:p>
        </w:tc>
        <w:tc>
          <w:tcPr>
            <w:tcW w:w="4196" w:type="dxa"/>
            <w:tcBorders>
              <w:top w:val="single" w:color="000000" w:sz="8" w:space="0"/>
              <w:left w:val="single" w:color="000000" w:sz="8" w:space="0"/>
              <w:bottom w:val="single" w:color="000000" w:sz="8" w:space="0"/>
              <w:right w:val="single" w:color="000000" w:sz="8" w:space="0"/>
            </w:tcBorders>
          </w:tcPr>
          <w:p w14:paraId="5A85C68F">
            <w:pPr>
              <w:wordWrap w:val="0"/>
              <w:spacing w:line="360" w:lineRule="auto"/>
              <w:jc w:val="center"/>
              <w:rPr>
                <w:rFonts w:ascii="宋体" w:hAnsi="宋体" w:cs="宋体"/>
                <w:b/>
                <w:bCs/>
                <w:color w:val="0000FF"/>
                <w:szCs w:val="21"/>
              </w:rPr>
            </w:pPr>
            <w:r>
              <w:rPr>
                <w:rFonts w:hint="eastAsia" w:ascii="宋体" w:hAnsi="宋体" w:cs="宋体"/>
                <w:b/>
                <w:bCs/>
                <w:color w:val="0000FF"/>
                <w:szCs w:val="21"/>
              </w:rPr>
              <w:t>40</w:t>
            </w:r>
          </w:p>
        </w:tc>
      </w:tr>
      <w:tr w14:paraId="17088E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00A02089">
            <w:pPr>
              <w:spacing w:line="360" w:lineRule="auto"/>
              <w:jc w:val="center"/>
              <w:rPr>
                <w:rFonts w:ascii="宋体" w:hAnsi="宋体" w:cs="宋体"/>
                <w:b/>
                <w:bCs/>
                <w:color w:val="0000FF"/>
                <w:szCs w:val="21"/>
              </w:rPr>
            </w:pPr>
            <w:r>
              <w:rPr>
                <w:rFonts w:hint="eastAsia" w:ascii="宋体" w:hAnsi="宋体" w:cs="宋体"/>
                <w:b/>
                <w:bCs/>
                <w:color w:val="0000FF"/>
                <w:szCs w:val="21"/>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6C891B98">
            <w:pPr>
              <w:spacing w:line="360" w:lineRule="auto"/>
              <w:jc w:val="center"/>
              <w:rPr>
                <w:rFonts w:ascii="宋体" w:hAnsi="宋体" w:cs="宋体"/>
                <w:b/>
                <w:bCs/>
                <w:color w:val="0000FF"/>
                <w:szCs w:val="21"/>
              </w:rPr>
            </w:pPr>
            <w:r>
              <w:rPr>
                <w:rFonts w:hint="eastAsia" w:ascii="宋体" w:hAnsi="宋体" w:cs="宋体"/>
                <w:b/>
                <w:bCs/>
                <w:color w:val="0000FF"/>
                <w:szCs w:val="21"/>
              </w:rPr>
              <w:t>技术</w:t>
            </w:r>
          </w:p>
        </w:tc>
        <w:tc>
          <w:tcPr>
            <w:tcW w:w="4196" w:type="dxa"/>
            <w:tcBorders>
              <w:top w:val="single" w:color="000000" w:sz="8" w:space="0"/>
              <w:left w:val="single" w:color="000000" w:sz="8" w:space="0"/>
              <w:bottom w:val="single" w:color="000000" w:sz="8" w:space="0"/>
              <w:right w:val="single" w:color="000000" w:sz="8" w:space="0"/>
            </w:tcBorders>
          </w:tcPr>
          <w:p w14:paraId="1D4D7695">
            <w:pPr>
              <w:spacing w:line="360" w:lineRule="auto"/>
              <w:jc w:val="center"/>
              <w:rPr>
                <w:rFonts w:ascii="宋体" w:hAnsi="宋体" w:cs="宋体"/>
                <w:b/>
                <w:bCs/>
                <w:color w:val="0000FF"/>
                <w:szCs w:val="21"/>
              </w:rPr>
            </w:pPr>
            <w:r>
              <w:rPr>
                <w:rFonts w:hint="eastAsia" w:ascii="宋体" w:hAnsi="宋体" w:cs="宋体"/>
                <w:b/>
                <w:bCs/>
                <w:color w:val="0000FF"/>
                <w:szCs w:val="21"/>
              </w:rPr>
              <w:t>50</w:t>
            </w:r>
          </w:p>
        </w:tc>
      </w:tr>
      <w:tr w14:paraId="2BADC7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56C98F0A">
            <w:pPr>
              <w:spacing w:line="360" w:lineRule="auto"/>
              <w:rPr>
                <w:rFonts w:ascii="宋体" w:hAnsi="宋体" w:cs="宋体"/>
                <w:b/>
                <w:bCs/>
                <w:color w:val="0000FF"/>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7A7E8A4">
            <w:pPr>
              <w:spacing w:line="360" w:lineRule="auto"/>
              <w:jc w:val="center"/>
              <w:rPr>
                <w:rFonts w:ascii="宋体" w:hAnsi="宋体" w:cs="宋体"/>
                <w:szCs w:val="21"/>
              </w:rPr>
            </w:pPr>
            <w:r>
              <w:rPr>
                <w:rFonts w:hint="eastAsia" w:ascii="宋体" w:hAnsi="宋体" w:cs="宋体"/>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ECBA4A3">
            <w:pPr>
              <w:spacing w:line="360" w:lineRule="auto"/>
              <w:jc w:val="center"/>
              <w:rPr>
                <w:rFonts w:ascii="宋体" w:hAnsi="宋体" w:cs="宋体"/>
                <w:szCs w:val="21"/>
              </w:rPr>
            </w:pPr>
            <w:r>
              <w:rPr>
                <w:rFonts w:hint="eastAsia" w:ascii="宋体" w:hAnsi="宋体" w:cs="宋体"/>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DC13F74">
            <w:pPr>
              <w:spacing w:line="360" w:lineRule="auto"/>
              <w:jc w:val="center"/>
              <w:rPr>
                <w:rFonts w:ascii="宋体" w:hAnsi="宋体" w:cs="宋体"/>
                <w:szCs w:val="21"/>
              </w:rPr>
            </w:pPr>
            <w:r>
              <w:rPr>
                <w:rFonts w:hint="eastAsia" w:ascii="宋体" w:hAnsi="宋体" w:cs="宋体"/>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EDD39FE">
            <w:pPr>
              <w:spacing w:line="360" w:lineRule="auto"/>
              <w:jc w:val="center"/>
              <w:rPr>
                <w:rFonts w:ascii="宋体" w:hAnsi="宋体" w:cs="宋体"/>
                <w:szCs w:val="21"/>
              </w:rPr>
            </w:pPr>
            <w:r>
              <w:rPr>
                <w:rFonts w:hint="eastAsia" w:ascii="宋体" w:hAnsi="宋体" w:cs="宋体"/>
                <w:szCs w:val="21"/>
              </w:rPr>
              <w:t>评分准则</w:t>
            </w:r>
          </w:p>
        </w:tc>
      </w:tr>
      <w:tr w14:paraId="156DAE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5A0A3B3D">
            <w:pPr>
              <w:spacing w:line="360" w:lineRule="auto"/>
              <w:rPr>
                <w:rFonts w:ascii="宋体" w:hAnsi="宋体" w:cs="宋体"/>
                <w:b/>
                <w:bCs/>
                <w:color w:val="0000FF"/>
                <w:szCs w:val="21"/>
              </w:rPr>
            </w:pPr>
          </w:p>
        </w:tc>
        <w:tc>
          <w:tcPr>
            <w:tcW w:w="680" w:type="dxa"/>
            <w:tcBorders>
              <w:top w:val="single" w:color="000000" w:sz="8" w:space="0"/>
              <w:left w:val="single" w:color="000000" w:sz="8" w:space="0"/>
              <w:bottom w:val="single" w:color="000000" w:sz="8" w:space="0"/>
              <w:right w:val="single" w:color="000000" w:sz="8" w:space="0"/>
            </w:tcBorders>
          </w:tcPr>
          <w:p w14:paraId="5A8748AD">
            <w:pPr>
              <w:spacing w:line="360" w:lineRule="auto"/>
              <w:jc w:val="center"/>
              <w:rPr>
                <w:rFonts w:ascii="宋体" w:hAnsi="宋体" w:cs="宋体"/>
                <w:szCs w:val="21"/>
              </w:rPr>
            </w:pPr>
            <w:r>
              <w:rPr>
                <w:rFonts w:hint="eastAsia" w:ascii="宋体" w:hAnsi="宋体" w:cs="宋体"/>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6169B370">
            <w:pPr>
              <w:spacing w:line="360" w:lineRule="auto"/>
              <w:rPr>
                <w:rFonts w:ascii="宋体" w:hAnsi="宋体" w:cs="宋体"/>
                <w:szCs w:val="21"/>
              </w:rPr>
            </w:pPr>
            <w:r>
              <w:rPr>
                <w:rFonts w:hint="eastAsia" w:ascii="宋体" w:hAnsi="宋体" w:cs="宋体"/>
                <w:szCs w:val="21"/>
              </w:rPr>
              <w:t>项目总体概述及理解</w:t>
            </w:r>
          </w:p>
        </w:tc>
        <w:tc>
          <w:tcPr>
            <w:tcW w:w="681" w:type="dxa"/>
            <w:tcBorders>
              <w:top w:val="single" w:color="000000" w:sz="8" w:space="0"/>
              <w:left w:val="single" w:color="000000" w:sz="8" w:space="0"/>
              <w:bottom w:val="single" w:color="000000" w:sz="8" w:space="0"/>
              <w:right w:val="single" w:color="000000" w:sz="8" w:space="0"/>
            </w:tcBorders>
          </w:tcPr>
          <w:p w14:paraId="0FB4D3C9">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5</w:t>
            </w:r>
          </w:p>
        </w:tc>
        <w:tc>
          <w:tcPr>
            <w:tcW w:w="4196" w:type="dxa"/>
            <w:tcBorders>
              <w:top w:val="single" w:color="000000" w:sz="8" w:space="0"/>
              <w:left w:val="single" w:color="000000" w:sz="8" w:space="0"/>
              <w:bottom w:val="single" w:color="000000" w:sz="8" w:space="0"/>
              <w:right w:val="single" w:color="000000" w:sz="8" w:space="0"/>
            </w:tcBorders>
          </w:tcPr>
          <w:p w14:paraId="743D5850">
            <w:pPr>
              <w:autoSpaceDE w:val="0"/>
              <w:autoSpaceDN w:val="0"/>
              <w:adjustRightInd w:val="0"/>
              <w:spacing w:line="360" w:lineRule="auto"/>
              <w:rPr>
                <w:rFonts w:ascii="宋体" w:hAnsi="宋体" w:cs="宋体"/>
                <w:snapToGrid w:val="0"/>
                <w:kern w:val="0"/>
                <w:szCs w:val="21"/>
              </w:rPr>
            </w:pPr>
            <w:r>
              <w:rPr>
                <w:rFonts w:hint="eastAsia" w:ascii="宋体" w:hAnsi="宋体" w:cs="宋体"/>
                <w:snapToGrid w:val="0"/>
                <w:kern w:val="0"/>
                <w:szCs w:val="21"/>
              </w:rPr>
              <w:t>（一）评审内容：</w:t>
            </w:r>
          </w:p>
          <w:p w14:paraId="111D3332">
            <w:pPr>
              <w:autoSpaceDE w:val="0"/>
              <w:autoSpaceDN w:val="0"/>
              <w:adjustRightInd w:val="0"/>
              <w:spacing w:line="360" w:lineRule="auto"/>
              <w:rPr>
                <w:rFonts w:ascii="宋体" w:hAnsi="宋体" w:cs="宋体"/>
                <w:kern w:val="0"/>
                <w:szCs w:val="21"/>
              </w:rPr>
            </w:pPr>
            <w:r>
              <w:rPr>
                <w:rFonts w:hint="eastAsia" w:ascii="宋体" w:hAnsi="宋体" w:cs="宋体"/>
                <w:snapToGrid w:val="0"/>
                <w:kern w:val="0"/>
                <w:szCs w:val="21"/>
              </w:rPr>
              <w:t>考察投标人提供的</w:t>
            </w:r>
            <w:r>
              <w:rPr>
                <w:rFonts w:hint="eastAsia" w:ascii="宋体" w:hAnsi="宋体" w:cs="宋体"/>
                <w:szCs w:val="21"/>
              </w:rPr>
              <w:t>项目总体概述及理解</w:t>
            </w:r>
            <w:r>
              <w:rPr>
                <w:rFonts w:hint="eastAsia" w:ascii="宋体" w:hAnsi="宋体" w:cs="宋体"/>
                <w:kern w:val="0"/>
                <w:szCs w:val="21"/>
              </w:rPr>
              <w:t>，包含以下内容：</w:t>
            </w:r>
          </w:p>
          <w:p w14:paraId="286C0252">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0"/>
                <w:szCs w:val="21"/>
              </w:rPr>
              <w:t>对本项目基本情况的理解</w:t>
            </w:r>
            <w:r>
              <w:rPr>
                <w:rFonts w:hint="eastAsia" w:ascii="宋体" w:hAnsi="宋体" w:cs="宋体"/>
                <w:kern w:val="0"/>
                <w:szCs w:val="21"/>
              </w:rPr>
              <w:t>；</w:t>
            </w:r>
          </w:p>
          <w:p w14:paraId="07B68F19">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0"/>
                <w:szCs w:val="21"/>
              </w:rPr>
              <w:t>对本项目工作内容的理解</w:t>
            </w:r>
            <w:r>
              <w:rPr>
                <w:rFonts w:hint="eastAsia" w:ascii="宋体" w:hAnsi="宋体" w:cs="宋体"/>
                <w:kern w:val="0"/>
                <w:szCs w:val="21"/>
              </w:rPr>
              <w:t>；</w:t>
            </w:r>
          </w:p>
          <w:p w14:paraId="393CF727">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（3）</w:t>
            </w:r>
            <w:r>
              <w:rPr>
                <w:rFonts w:hint="eastAsia" w:ascii="宋体" w:hAnsi="宋体" w:cs="宋体"/>
                <w:snapToGrid w:val="0"/>
                <w:kern w:val="0"/>
                <w:szCs w:val="21"/>
              </w:rPr>
              <w:t>组织实施的总体思路和综合措施</w:t>
            </w:r>
            <w:r>
              <w:rPr>
                <w:rFonts w:hint="eastAsia" w:ascii="宋体" w:hAnsi="宋体" w:cs="宋体"/>
                <w:kern w:val="0"/>
                <w:szCs w:val="21"/>
              </w:rPr>
              <w:t>。</w:t>
            </w:r>
          </w:p>
          <w:p w14:paraId="0759F9D2">
            <w:pPr>
              <w:adjustRightInd w:val="0"/>
              <w:snapToGrid w:val="0"/>
              <w:spacing w:line="360" w:lineRule="auto"/>
              <w:rPr>
                <w:rFonts w:ascii="宋体" w:hAnsi="宋体" w:cs="宋体"/>
                <w:snapToGrid w:val="0"/>
                <w:kern w:val="0"/>
                <w:szCs w:val="21"/>
              </w:rPr>
            </w:pPr>
          </w:p>
          <w:p w14:paraId="7B738D05">
            <w:pPr>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t>（二）评分标准：</w:t>
            </w:r>
          </w:p>
          <w:p w14:paraId="72837AA1">
            <w:pPr>
              <w:spacing w:line="360" w:lineRule="auto"/>
              <w:rPr>
                <w:rFonts w:ascii="宋体" w:hAnsi="宋体" w:cs="宋体"/>
                <w:szCs w:val="21"/>
              </w:rPr>
            </w:pPr>
            <w:r>
              <w:rPr>
                <w:rFonts w:hint="eastAsia" w:ascii="宋体" w:hAnsi="宋体" w:cs="宋体"/>
                <w:szCs w:val="21"/>
              </w:rPr>
              <w:t>方案包含以上三项内容得30分；包含以上二项内容得20分；包含以上一项内容得10分；其他情况不得分。</w:t>
            </w:r>
          </w:p>
          <w:p w14:paraId="13615C04">
            <w:pPr>
              <w:spacing w:line="360" w:lineRule="auto"/>
              <w:rPr>
                <w:rFonts w:ascii="宋体" w:hAnsi="宋体" w:cs="宋体"/>
                <w:szCs w:val="21"/>
              </w:rPr>
            </w:pPr>
            <w:r>
              <w:rPr>
                <w:rFonts w:hint="eastAsia" w:ascii="宋体" w:hAnsi="宋体" w:cs="宋体"/>
                <w:szCs w:val="21"/>
              </w:rPr>
              <w:t>在此基础上，根据方案响应情况进一步评审：</w:t>
            </w:r>
          </w:p>
          <w:p w14:paraId="723D1647">
            <w:pPr>
              <w:spacing w:line="360" w:lineRule="auto"/>
              <w:rPr>
                <w:rFonts w:ascii="宋体" w:hAnsi="宋体" w:cs="宋体"/>
                <w:szCs w:val="21"/>
              </w:rPr>
            </w:pPr>
            <w:r>
              <w:rPr>
                <w:rFonts w:hint="eastAsia" w:ascii="宋体" w:hAnsi="宋体" w:cs="宋体"/>
                <w:szCs w:val="21"/>
              </w:rPr>
              <w:t>（1）方案内容全面、具体，可行性高，加70分；</w:t>
            </w:r>
          </w:p>
          <w:p w14:paraId="73166F70">
            <w:pPr>
              <w:spacing w:line="360" w:lineRule="auto"/>
              <w:rPr>
                <w:rFonts w:ascii="宋体" w:hAnsi="宋体" w:cs="宋体"/>
                <w:szCs w:val="21"/>
              </w:rPr>
            </w:pPr>
            <w:r>
              <w:rPr>
                <w:rFonts w:hint="eastAsia" w:ascii="宋体" w:hAnsi="宋体" w:cs="宋体"/>
                <w:szCs w:val="21"/>
              </w:rPr>
              <w:t>（2）方案内容较全面，可行性较高，加40分；</w:t>
            </w:r>
          </w:p>
          <w:p w14:paraId="48D0C814">
            <w:pPr>
              <w:spacing w:line="360" w:lineRule="auto"/>
              <w:rPr>
                <w:rFonts w:ascii="宋体" w:hAnsi="宋体" w:cs="宋体"/>
                <w:szCs w:val="21"/>
              </w:rPr>
            </w:pPr>
            <w:r>
              <w:rPr>
                <w:rFonts w:hint="eastAsia" w:ascii="宋体" w:hAnsi="宋体" w:cs="宋体"/>
                <w:szCs w:val="21"/>
              </w:rPr>
              <w:t>（3）方案全面性、可行性一般，加10分；</w:t>
            </w:r>
          </w:p>
          <w:p w14:paraId="74554C20">
            <w:pPr>
              <w:spacing w:line="360" w:lineRule="auto"/>
              <w:rPr>
                <w:rFonts w:ascii="宋体" w:hAnsi="宋体" w:cs="宋体"/>
                <w:szCs w:val="21"/>
              </w:rPr>
            </w:pPr>
            <w:r>
              <w:rPr>
                <w:rFonts w:hint="eastAsia" w:ascii="宋体" w:hAnsi="宋体" w:cs="宋体"/>
                <w:szCs w:val="21"/>
              </w:rPr>
              <w:t>（4）方案不全，可行性低，不加分。</w:t>
            </w:r>
          </w:p>
        </w:tc>
      </w:tr>
      <w:tr w14:paraId="22702F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78F3A812">
            <w:pPr>
              <w:spacing w:line="360" w:lineRule="auto"/>
              <w:rPr>
                <w:rFonts w:ascii="宋体" w:hAnsi="宋体" w:cs="宋体"/>
                <w:b/>
                <w:bCs/>
                <w:color w:val="0000FF"/>
                <w:szCs w:val="21"/>
              </w:rPr>
            </w:pPr>
          </w:p>
        </w:tc>
        <w:tc>
          <w:tcPr>
            <w:tcW w:w="680" w:type="dxa"/>
            <w:tcBorders>
              <w:top w:val="single" w:color="000000" w:sz="8" w:space="0"/>
              <w:left w:val="single" w:color="000000" w:sz="8" w:space="0"/>
              <w:bottom w:val="single" w:color="000000" w:sz="8" w:space="0"/>
              <w:right w:val="single" w:color="000000" w:sz="8" w:space="0"/>
            </w:tcBorders>
          </w:tcPr>
          <w:p w14:paraId="602E25A6">
            <w:pPr>
              <w:spacing w:line="360" w:lineRule="auto"/>
              <w:jc w:val="center"/>
              <w:rPr>
                <w:rFonts w:ascii="宋体" w:hAnsi="宋体" w:cs="宋体"/>
                <w:szCs w:val="21"/>
              </w:rPr>
            </w:pPr>
            <w:r>
              <w:rPr>
                <w:rFonts w:hint="eastAsia" w:ascii="宋体" w:hAnsi="宋体" w:cs="宋体"/>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6D5EF985">
            <w:pPr>
              <w:spacing w:line="360" w:lineRule="auto"/>
              <w:rPr>
                <w:rFonts w:ascii="宋体" w:hAnsi="宋体" w:cs="宋体"/>
                <w:szCs w:val="21"/>
              </w:rPr>
            </w:pPr>
            <w:r>
              <w:rPr>
                <w:rFonts w:hint="eastAsia" w:ascii="宋体" w:hAnsi="宋体" w:cs="宋体"/>
                <w:szCs w:val="21"/>
              </w:rPr>
              <w:t>施工组织计划、施工技术及施工工艺</w:t>
            </w:r>
          </w:p>
        </w:tc>
        <w:tc>
          <w:tcPr>
            <w:tcW w:w="681" w:type="dxa"/>
            <w:tcBorders>
              <w:top w:val="single" w:color="000000" w:sz="8" w:space="0"/>
              <w:left w:val="single" w:color="000000" w:sz="8" w:space="0"/>
              <w:bottom w:val="single" w:color="000000" w:sz="8" w:space="0"/>
              <w:right w:val="single" w:color="000000" w:sz="8" w:space="0"/>
            </w:tcBorders>
          </w:tcPr>
          <w:p w14:paraId="4F435A60">
            <w:pPr>
              <w:spacing w:line="360" w:lineRule="auto"/>
              <w:jc w:val="center"/>
              <w:rPr>
                <w:rFonts w:ascii="宋体" w:hAnsi="宋体" w:cs="宋体"/>
                <w:szCs w:val="21"/>
              </w:rPr>
            </w:pPr>
            <w:r>
              <w:rPr>
                <w:rFonts w:hint="eastAsia" w:ascii="宋体" w:hAnsi="宋体" w:cs="宋体"/>
                <w:szCs w:val="21"/>
              </w:rPr>
              <w:t>7</w:t>
            </w:r>
          </w:p>
        </w:tc>
        <w:tc>
          <w:tcPr>
            <w:tcW w:w="4196" w:type="dxa"/>
            <w:tcBorders>
              <w:top w:val="single" w:color="000000" w:sz="8" w:space="0"/>
              <w:left w:val="single" w:color="000000" w:sz="8" w:space="0"/>
              <w:bottom w:val="single" w:color="000000" w:sz="8" w:space="0"/>
              <w:right w:val="single" w:color="000000" w:sz="8" w:space="0"/>
            </w:tcBorders>
          </w:tcPr>
          <w:p w14:paraId="5E1BC4CE">
            <w:pPr>
              <w:autoSpaceDE w:val="0"/>
              <w:autoSpaceDN w:val="0"/>
              <w:adjustRightInd w:val="0"/>
              <w:spacing w:line="360" w:lineRule="auto"/>
              <w:rPr>
                <w:rFonts w:ascii="宋体" w:hAnsi="宋体" w:cs="宋体"/>
                <w:snapToGrid w:val="0"/>
                <w:kern w:val="0"/>
                <w:szCs w:val="21"/>
              </w:rPr>
            </w:pPr>
            <w:r>
              <w:rPr>
                <w:rFonts w:hint="eastAsia" w:ascii="宋体" w:hAnsi="宋体" w:cs="宋体"/>
                <w:snapToGrid w:val="0"/>
                <w:kern w:val="0"/>
                <w:szCs w:val="21"/>
              </w:rPr>
              <w:t>（一）评审内容：</w:t>
            </w:r>
          </w:p>
          <w:p w14:paraId="06D132C4">
            <w:pPr>
              <w:autoSpaceDE w:val="0"/>
              <w:autoSpaceDN w:val="0"/>
              <w:adjustRightInd w:val="0"/>
              <w:spacing w:line="360" w:lineRule="auto"/>
              <w:rPr>
                <w:rFonts w:ascii="宋体" w:hAnsi="宋体" w:cs="宋体"/>
                <w:kern w:val="0"/>
                <w:szCs w:val="21"/>
              </w:rPr>
            </w:pPr>
            <w:r>
              <w:rPr>
                <w:rFonts w:hint="eastAsia" w:ascii="宋体" w:hAnsi="宋体" w:cs="宋体"/>
                <w:snapToGrid w:val="0"/>
                <w:kern w:val="0"/>
                <w:szCs w:val="21"/>
              </w:rPr>
              <w:t>考察投标人提供的</w:t>
            </w:r>
            <w:r>
              <w:rPr>
                <w:rFonts w:hint="eastAsia" w:ascii="宋体" w:hAnsi="宋体" w:cs="宋体"/>
                <w:szCs w:val="21"/>
              </w:rPr>
              <w:t>施工方案</w:t>
            </w:r>
            <w:r>
              <w:rPr>
                <w:rFonts w:hint="eastAsia" w:ascii="宋体" w:hAnsi="宋体" w:cs="宋体"/>
                <w:kern w:val="0"/>
                <w:szCs w:val="21"/>
              </w:rPr>
              <w:t>，包含以下内容：</w:t>
            </w:r>
          </w:p>
          <w:p w14:paraId="1B86C0A5">
            <w:pPr>
              <w:autoSpaceDE w:val="0"/>
              <w:autoSpaceDN w:val="0"/>
              <w:adjustRightInd w:val="0"/>
              <w:spacing w:line="360" w:lineRule="auto"/>
              <w:rPr>
                <w:rFonts w:ascii="宋体" w:hAnsi="宋体" w:cs="宋体"/>
                <w:kern w:val="0"/>
                <w:szCs w:val="21"/>
              </w:rPr>
            </w:pPr>
            <w:r>
              <w:rPr>
                <w:rFonts w:hint="eastAsia" w:ascii="宋体" w:hAnsi="宋体" w:cs="宋体"/>
                <w:szCs w:val="21"/>
              </w:rPr>
              <w:t>（1）施工组织计划</w:t>
            </w:r>
            <w:r>
              <w:rPr>
                <w:rFonts w:hint="eastAsia" w:ascii="宋体" w:hAnsi="宋体" w:cs="宋体"/>
                <w:kern w:val="0"/>
                <w:szCs w:val="21"/>
              </w:rPr>
              <w:t>；</w:t>
            </w:r>
          </w:p>
          <w:p w14:paraId="6BCDFF66">
            <w:pPr>
              <w:autoSpaceDE w:val="0"/>
              <w:autoSpaceDN w:val="0"/>
              <w:adjustRightInd w:val="0"/>
              <w:spacing w:line="360" w:lineRule="auto"/>
              <w:rPr>
                <w:rFonts w:ascii="宋体" w:hAnsi="宋体" w:cs="宋体"/>
                <w:kern w:val="0"/>
                <w:szCs w:val="21"/>
              </w:rPr>
            </w:pPr>
            <w:r>
              <w:rPr>
                <w:rFonts w:hint="eastAsia" w:ascii="宋体" w:hAnsi="宋体" w:cs="宋体"/>
                <w:szCs w:val="21"/>
              </w:rPr>
              <w:t>（2）施工技术</w:t>
            </w:r>
            <w:r>
              <w:rPr>
                <w:rFonts w:hint="eastAsia" w:ascii="宋体" w:hAnsi="宋体" w:cs="宋体"/>
                <w:kern w:val="0"/>
                <w:szCs w:val="21"/>
              </w:rPr>
              <w:t>；</w:t>
            </w:r>
          </w:p>
          <w:p w14:paraId="113381A9">
            <w:pPr>
              <w:autoSpaceDE w:val="0"/>
              <w:autoSpaceDN w:val="0"/>
              <w:adjustRightInd w:val="0"/>
              <w:spacing w:line="360" w:lineRule="auto"/>
              <w:rPr>
                <w:rFonts w:ascii="宋体" w:hAnsi="宋体" w:cs="宋体"/>
                <w:kern w:val="0"/>
                <w:szCs w:val="21"/>
              </w:rPr>
            </w:pPr>
            <w:r>
              <w:rPr>
                <w:rFonts w:hint="eastAsia" w:ascii="宋体" w:hAnsi="宋体" w:cs="宋体"/>
                <w:szCs w:val="21"/>
              </w:rPr>
              <w:t>（3）施工工艺</w:t>
            </w:r>
            <w:r>
              <w:rPr>
                <w:rFonts w:hint="eastAsia" w:ascii="宋体" w:hAnsi="宋体" w:cs="宋体"/>
                <w:kern w:val="0"/>
                <w:szCs w:val="21"/>
              </w:rPr>
              <w:t>。</w:t>
            </w:r>
          </w:p>
          <w:p w14:paraId="7EE5D88F">
            <w:pPr>
              <w:adjustRightInd w:val="0"/>
              <w:snapToGrid w:val="0"/>
              <w:spacing w:line="360" w:lineRule="auto"/>
              <w:rPr>
                <w:rFonts w:ascii="宋体" w:hAnsi="宋体" w:cs="宋体"/>
                <w:snapToGrid w:val="0"/>
                <w:kern w:val="0"/>
                <w:szCs w:val="21"/>
              </w:rPr>
            </w:pPr>
          </w:p>
          <w:p w14:paraId="4731B87A">
            <w:pPr>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t>（二）评分标准：</w:t>
            </w:r>
          </w:p>
          <w:p w14:paraId="10B8F5A2">
            <w:pPr>
              <w:spacing w:line="360" w:lineRule="auto"/>
              <w:rPr>
                <w:rFonts w:ascii="宋体" w:hAnsi="宋体" w:cs="宋体"/>
                <w:szCs w:val="21"/>
              </w:rPr>
            </w:pPr>
            <w:r>
              <w:rPr>
                <w:rFonts w:hint="eastAsia" w:ascii="宋体" w:hAnsi="宋体" w:cs="宋体"/>
                <w:szCs w:val="21"/>
              </w:rPr>
              <w:t>方案包含以上三项内容得30分；包含以上二项内容得20分；包含以上一项内容得10分；其他情况不得分。</w:t>
            </w:r>
          </w:p>
          <w:p w14:paraId="1047FC08">
            <w:pPr>
              <w:spacing w:line="360" w:lineRule="auto"/>
              <w:rPr>
                <w:rFonts w:ascii="宋体" w:hAnsi="宋体" w:cs="宋体"/>
                <w:szCs w:val="21"/>
              </w:rPr>
            </w:pPr>
            <w:r>
              <w:rPr>
                <w:rFonts w:hint="eastAsia" w:ascii="宋体" w:hAnsi="宋体" w:cs="宋体"/>
                <w:szCs w:val="21"/>
              </w:rPr>
              <w:t>在此基础上，根据方案响应情况进一步评审：</w:t>
            </w:r>
          </w:p>
          <w:p w14:paraId="7B05F658">
            <w:pPr>
              <w:spacing w:line="360" w:lineRule="auto"/>
              <w:rPr>
                <w:rFonts w:ascii="宋体" w:hAnsi="宋体" w:cs="宋体"/>
                <w:szCs w:val="21"/>
              </w:rPr>
            </w:pPr>
            <w:r>
              <w:rPr>
                <w:rFonts w:hint="eastAsia" w:ascii="宋体" w:hAnsi="宋体" w:cs="宋体"/>
                <w:szCs w:val="21"/>
              </w:rPr>
              <w:t>（1）方案内容全面、具体，可行性高，加70分；</w:t>
            </w:r>
          </w:p>
          <w:p w14:paraId="6E233A96">
            <w:pPr>
              <w:spacing w:line="360" w:lineRule="auto"/>
              <w:rPr>
                <w:rFonts w:ascii="宋体" w:hAnsi="宋体" w:cs="宋体"/>
                <w:szCs w:val="21"/>
              </w:rPr>
            </w:pPr>
            <w:r>
              <w:rPr>
                <w:rFonts w:hint="eastAsia" w:ascii="宋体" w:hAnsi="宋体" w:cs="宋体"/>
                <w:szCs w:val="21"/>
              </w:rPr>
              <w:t>（2）方案内容较全面，可行性较高，加40分；</w:t>
            </w:r>
          </w:p>
          <w:p w14:paraId="765690A7">
            <w:pPr>
              <w:spacing w:line="360" w:lineRule="auto"/>
              <w:rPr>
                <w:rFonts w:ascii="宋体" w:hAnsi="宋体" w:cs="宋体"/>
                <w:szCs w:val="21"/>
              </w:rPr>
            </w:pPr>
            <w:r>
              <w:rPr>
                <w:rFonts w:hint="eastAsia" w:ascii="宋体" w:hAnsi="宋体" w:cs="宋体"/>
                <w:szCs w:val="21"/>
              </w:rPr>
              <w:t>（3）方案全面性、可行性一般，加10分；</w:t>
            </w:r>
          </w:p>
          <w:p w14:paraId="399A6F3C">
            <w:pPr>
              <w:spacing w:line="360" w:lineRule="auto"/>
              <w:rPr>
                <w:rFonts w:ascii="宋体" w:hAnsi="宋体" w:cs="宋体"/>
                <w:szCs w:val="21"/>
              </w:rPr>
            </w:pPr>
            <w:r>
              <w:rPr>
                <w:rFonts w:hint="eastAsia" w:ascii="宋体" w:hAnsi="宋体" w:cs="宋体"/>
                <w:szCs w:val="21"/>
              </w:rPr>
              <w:t>（4）方案不全，可行性低，不加分。</w:t>
            </w:r>
          </w:p>
        </w:tc>
      </w:tr>
      <w:tr w14:paraId="7877F9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107D887C">
            <w:pPr>
              <w:spacing w:line="360" w:lineRule="auto"/>
              <w:rPr>
                <w:rFonts w:ascii="宋体" w:hAnsi="宋体" w:cs="宋体"/>
                <w:b/>
                <w:bCs/>
                <w:color w:val="0000FF"/>
                <w:szCs w:val="21"/>
              </w:rPr>
            </w:pPr>
          </w:p>
        </w:tc>
        <w:tc>
          <w:tcPr>
            <w:tcW w:w="680" w:type="dxa"/>
            <w:tcBorders>
              <w:top w:val="single" w:color="000000" w:sz="8" w:space="0"/>
              <w:left w:val="single" w:color="000000" w:sz="8" w:space="0"/>
              <w:bottom w:val="single" w:color="000000" w:sz="8" w:space="0"/>
              <w:right w:val="single" w:color="000000" w:sz="8" w:space="0"/>
            </w:tcBorders>
          </w:tcPr>
          <w:p w14:paraId="72664BAA">
            <w:pPr>
              <w:spacing w:line="360" w:lineRule="auto"/>
              <w:jc w:val="center"/>
              <w:rPr>
                <w:rFonts w:ascii="宋体" w:hAnsi="宋体" w:cs="宋体"/>
                <w:szCs w:val="21"/>
              </w:rPr>
            </w:pPr>
            <w:r>
              <w:rPr>
                <w:rFonts w:hint="eastAsia" w:ascii="宋体" w:hAnsi="宋体" w:cs="宋体"/>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1FF9CA50">
            <w:pPr>
              <w:spacing w:line="360" w:lineRule="auto"/>
              <w:rPr>
                <w:rFonts w:ascii="宋体" w:hAnsi="宋体" w:cs="宋体"/>
                <w:szCs w:val="21"/>
              </w:rPr>
            </w:pPr>
            <w:r>
              <w:rPr>
                <w:rFonts w:hint="eastAsia" w:ascii="宋体" w:hAnsi="宋体" w:cs="宋体"/>
                <w:szCs w:val="21"/>
              </w:rPr>
              <w:t>项目实施关键施工技术（重点难点）分析及解决方案</w:t>
            </w:r>
          </w:p>
        </w:tc>
        <w:tc>
          <w:tcPr>
            <w:tcW w:w="681" w:type="dxa"/>
            <w:tcBorders>
              <w:top w:val="single" w:color="000000" w:sz="8" w:space="0"/>
              <w:left w:val="single" w:color="000000" w:sz="8" w:space="0"/>
              <w:bottom w:val="single" w:color="000000" w:sz="8" w:space="0"/>
              <w:right w:val="single" w:color="000000" w:sz="8" w:space="0"/>
            </w:tcBorders>
          </w:tcPr>
          <w:p w14:paraId="0DE6BA5C">
            <w:pPr>
              <w:spacing w:line="360" w:lineRule="auto"/>
              <w:jc w:val="center"/>
              <w:rPr>
                <w:rFonts w:ascii="宋体" w:hAnsi="宋体" w:cs="宋体"/>
                <w:szCs w:val="21"/>
              </w:rPr>
            </w:pPr>
            <w:r>
              <w:rPr>
                <w:rFonts w:ascii="宋体" w:hAnsi="宋体" w:cs="宋体"/>
                <w:szCs w:val="21"/>
              </w:rPr>
              <w:t>8</w:t>
            </w:r>
          </w:p>
        </w:tc>
        <w:tc>
          <w:tcPr>
            <w:tcW w:w="4196" w:type="dxa"/>
            <w:tcBorders>
              <w:top w:val="single" w:color="000000" w:sz="8" w:space="0"/>
              <w:left w:val="single" w:color="000000" w:sz="8" w:space="0"/>
              <w:bottom w:val="single" w:color="000000" w:sz="8" w:space="0"/>
              <w:right w:val="single" w:color="000000" w:sz="8" w:space="0"/>
            </w:tcBorders>
          </w:tcPr>
          <w:p w14:paraId="4640C0A5">
            <w:pPr>
              <w:autoSpaceDE w:val="0"/>
              <w:autoSpaceDN w:val="0"/>
              <w:adjustRightInd w:val="0"/>
              <w:spacing w:line="360" w:lineRule="auto"/>
              <w:rPr>
                <w:rFonts w:ascii="宋体" w:hAnsi="宋体" w:cs="宋体"/>
                <w:snapToGrid w:val="0"/>
                <w:kern w:val="0"/>
                <w:szCs w:val="21"/>
              </w:rPr>
            </w:pPr>
            <w:r>
              <w:rPr>
                <w:rFonts w:hint="eastAsia" w:ascii="宋体" w:hAnsi="宋体" w:cs="宋体"/>
                <w:snapToGrid w:val="0"/>
                <w:kern w:val="0"/>
                <w:szCs w:val="21"/>
              </w:rPr>
              <w:t>（一）评审内容：</w:t>
            </w:r>
          </w:p>
          <w:p w14:paraId="2B31E47B">
            <w:pPr>
              <w:autoSpaceDE w:val="0"/>
              <w:autoSpaceDN w:val="0"/>
              <w:adjustRightInd w:val="0"/>
              <w:spacing w:line="360" w:lineRule="auto"/>
              <w:rPr>
                <w:rFonts w:ascii="宋体" w:hAnsi="宋体" w:cs="宋体"/>
                <w:kern w:val="0"/>
                <w:szCs w:val="21"/>
              </w:rPr>
            </w:pPr>
            <w:r>
              <w:rPr>
                <w:rFonts w:hint="eastAsia" w:ascii="宋体" w:hAnsi="宋体" w:cs="宋体"/>
                <w:snapToGrid w:val="0"/>
                <w:kern w:val="0"/>
                <w:szCs w:val="21"/>
              </w:rPr>
              <w:t>考察投标人提供的</w:t>
            </w:r>
            <w:r>
              <w:rPr>
                <w:rFonts w:hint="eastAsia" w:ascii="宋体" w:hAnsi="宋体" w:cs="宋体"/>
                <w:szCs w:val="21"/>
              </w:rPr>
              <w:t>重难点分析和解决方案</w:t>
            </w:r>
            <w:r>
              <w:rPr>
                <w:rFonts w:hint="eastAsia" w:ascii="宋体" w:hAnsi="宋体" w:cs="宋体"/>
                <w:kern w:val="0"/>
                <w:szCs w:val="21"/>
              </w:rPr>
              <w:t>，包含以下内容：</w:t>
            </w:r>
          </w:p>
          <w:p w14:paraId="6C475BCD">
            <w:pPr>
              <w:autoSpaceDE w:val="0"/>
              <w:autoSpaceDN w:val="0"/>
              <w:adjustRightInd w:val="0"/>
              <w:spacing w:line="360" w:lineRule="auto"/>
              <w:rPr>
                <w:rFonts w:ascii="宋体" w:hAnsi="宋体" w:cs="宋体"/>
                <w:kern w:val="0"/>
                <w:szCs w:val="21"/>
              </w:rPr>
            </w:pPr>
            <w:r>
              <w:rPr>
                <w:rFonts w:hint="eastAsia" w:ascii="宋体" w:hAnsi="宋体" w:cs="宋体"/>
                <w:szCs w:val="21"/>
              </w:rPr>
              <w:t>（1）</w:t>
            </w:r>
            <w:r>
              <w:rPr>
                <w:rStyle w:val="325"/>
                <w:rFonts w:hint="eastAsia" w:ascii="宋体" w:hAnsi="宋体" w:cs="宋体"/>
                <w:bCs/>
                <w:szCs w:val="21"/>
              </w:rPr>
              <w:t>项目关键施工技术重点、难点分析</w:t>
            </w:r>
            <w:r>
              <w:rPr>
                <w:rFonts w:hint="eastAsia" w:ascii="宋体" w:hAnsi="宋体" w:cs="宋体"/>
                <w:kern w:val="0"/>
                <w:szCs w:val="21"/>
              </w:rPr>
              <w:t>；</w:t>
            </w:r>
          </w:p>
          <w:p w14:paraId="185923FD">
            <w:pPr>
              <w:autoSpaceDE w:val="0"/>
              <w:autoSpaceDN w:val="0"/>
              <w:adjustRightInd w:val="0"/>
              <w:spacing w:line="360" w:lineRule="auto"/>
              <w:rPr>
                <w:rFonts w:ascii="宋体" w:hAnsi="宋体" w:cs="宋体"/>
                <w:kern w:val="0"/>
                <w:szCs w:val="21"/>
              </w:rPr>
            </w:pPr>
            <w:r>
              <w:rPr>
                <w:rFonts w:hint="eastAsia" w:ascii="宋体" w:hAnsi="宋体" w:cs="宋体"/>
                <w:szCs w:val="21"/>
              </w:rPr>
              <w:t>（2）</w:t>
            </w:r>
            <w:r>
              <w:rPr>
                <w:rStyle w:val="325"/>
                <w:rFonts w:hint="eastAsia" w:ascii="宋体" w:hAnsi="宋体" w:cs="宋体"/>
                <w:bCs/>
                <w:szCs w:val="21"/>
              </w:rPr>
              <w:t>重点、难点解决方案</w:t>
            </w:r>
            <w:r>
              <w:rPr>
                <w:rFonts w:hint="eastAsia" w:ascii="宋体" w:hAnsi="宋体" w:cs="宋体"/>
                <w:kern w:val="0"/>
                <w:szCs w:val="21"/>
              </w:rPr>
              <w:t>；</w:t>
            </w:r>
          </w:p>
          <w:p w14:paraId="6AA69A38">
            <w:pPr>
              <w:autoSpaceDE w:val="0"/>
              <w:autoSpaceDN w:val="0"/>
              <w:adjustRightInd w:val="0"/>
              <w:spacing w:line="360" w:lineRule="auto"/>
              <w:rPr>
                <w:rFonts w:ascii="宋体" w:hAnsi="宋体" w:cs="宋体"/>
                <w:kern w:val="0"/>
                <w:szCs w:val="21"/>
              </w:rPr>
            </w:pPr>
            <w:r>
              <w:rPr>
                <w:rFonts w:hint="eastAsia" w:ascii="宋体" w:hAnsi="宋体" w:cs="宋体"/>
                <w:szCs w:val="21"/>
              </w:rPr>
              <w:t>（3）相关合理化建议</w:t>
            </w:r>
            <w:r>
              <w:rPr>
                <w:rFonts w:hint="eastAsia" w:ascii="宋体" w:hAnsi="宋体" w:cs="宋体"/>
                <w:kern w:val="0"/>
                <w:szCs w:val="21"/>
              </w:rPr>
              <w:t>。</w:t>
            </w:r>
          </w:p>
          <w:p w14:paraId="604F26B7">
            <w:pPr>
              <w:adjustRightInd w:val="0"/>
              <w:snapToGrid w:val="0"/>
              <w:spacing w:line="360" w:lineRule="auto"/>
              <w:rPr>
                <w:rFonts w:ascii="宋体" w:hAnsi="宋体" w:cs="宋体"/>
                <w:snapToGrid w:val="0"/>
                <w:kern w:val="0"/>
                <w:szCs w:val="21"/>
              </w:rPr>
            </w:pPr>
          </w:p>
          <w:p w14:paraId="119E27ED">
            <w:pPr>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t>（二）评分标准：</w:t>
            </w:r>
          </w:p>
          <w:p w14:paraId="34F6F0F7">
            <w:pPr>
              <w:spacing w:line="360" w:lineRule="auto"/>
              <w:rPr>
                <w:rFonts w:ascii="宋体" w:hAnsi="宋体" w:cs="宋体"/>
                <w:szCs w:val="21"/>
              </w:rPr>
            </w:pPr>
            <w:r>
              <w:rPr>
                <w:rFonts w:hint="eastAsia" w:ascii="宋体" w:hAnsi="宋体" w:cs="宋体"/>
                <w:szCs w:val="21"/>
              </w:rPr>
              <w:t>方案包含以上三项内容得30分；包含以上二项内容得20分；包含以上一项内容得10分；其他情况不得分。</w:t>
            </w:r>
          </w:p>
          <w:p w14:paraId="575CE865">
            <w:pPr>
              <w:spacing w:line="360" w:lineRule="auto"/>
              <w:rPr>
                <w:rFonts w:ascii="宋体" w:hAnsi="宋体" w:cs="宋体"/>
                <w:szCs w:val="21"/>
              </w:rPr>
            </w:pPr>
            <w:r>
              <w:rPr>
                <w:rFonts w:hint="eastAsia" w:ascii="宋体" w:hAnsi="宋体" w:cs="宋体"/>
                <w:szCs w:val="21"/>
              </w:rPr>
              <w:t>在此基础上，根据方案响应情况进一步评审：</w:t>
            </w:r>
          </w:p>
          <w:p w14:paraId="3B02F7D3">
            <w:pPr>
              <w:spacing w:line="360" w:lineRule="auto"/>
              <w:rPr>
                <w:rFonts w:ascii="宋体" w:hAnsi="宋体" w:cs="宋体"/>
                <w:szCs w:val="21"/>
              </w:rPr>
            </w:pPr>
            <w:r>
              <w:rPr>
                <w:rFonts w:hint="eastAsia" w:ascii="宋体" w:hAnsi="宋体" w:cs="宋体"/>
                <w:szCs w:val="21"/>
              </w:rPr>
              <w:t>（1）方案内容全面、具体，可行性高，加70分；</w:t>
            </w:r>
          </w:p>
          <w:p w14:paraId="7BD79CEA">
            <w:pPr>
              <w:spacing w:line="360" w:lineRule="auto"/>
              <w:rPr>
                <w:rFonts w:ascii="宋体" w:hAnsi="宋体" w:cs="宋体"/>
                <w:szCs w:val="21"/>
              </w:rPr>
            </w:pPr>
            <w:r>
              <w:rPr>
                <w:rFonts w:hint="eastAsia" w:ascii="宋体" w:hAnsi="宋体" w:cs="宋体"/>
                <w:szCs w:val="21"/>
              </w:rPr>
              <w:t>（2）方案内容较全面，可行性较高，加40分；</w:t>
            </w:r>
          </w:p>
          <w:p w14:paraId="4DEFE4FF">
            <w:pPr>
              <w:spacing w:line="360" w:lineRule="auto"/>
              <w:rPr>
                <w:rFonts w:ascii="宋体" w:hAnsi="宋体" w:cs="宋体"/>
                <w:szCs w:val="21"/>
              </w:rPr>
            </w:pPr>
            <w:r>
              <w:rPr>
                <w:rFonts w:hint="eastAsia" w:ascii="宋体" w:hAnsi="宋体" w:cs="宋体"/>
                <w:szCs w:val="21"/>
              </w:rPr>
              <w:t>（3）方案全面性、可行性一般，加10分；</w:t>
            </w:r>
          </w:p>
          <w:p w14:paraId="74ED9F83">
            <w:pPr>
              <w:adjustRightInd w:val="0"/>
              <w:snapToGrid w:val="0"/>
              <w:spacing w:line="360" w:lineRule="auto"/>
              <w:jc w:val="left"/>
              <w:rPr>
                <w:rFonts w:ascii="宋体" w:hAnsi="宋体" w:cs="宋体"/>
                <w:szCs w:val="21"/>
              </w:rPr>
            </w:pPr>
            <w:r>
              <w:rPr>
                <w:rFonts w:hint="eastAsia" w:ascii="宋体" w:hAnsi="宋体" w:cs="宋体"/>
                <w:szCs w:val="21"/>
              </w:rPr>
              <w:t>（4）方案不全，可行性低，不加分。</w:t>
            </w:r>
          </w:p>
        </w:tc>
      </w:tr>
      <w:tr w14:paraId="52736F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6CF193A3">
            <w:pPr>
              <w:spacing w:line="360" w:lineRule="auto"/>
              <w:rPr>
                <w:rFonts w:ascii="宋体" w:hAnsi="宋体" w:cs="宋体"/>
                <w:b/>
                <w:bCs/>
                <w:color w:val="0000FF"/>
                <w:szCs w:val="21"/>
              </w:rPr>
            </w:pPr>
          </w:p>
        </w:tc>
        <w:tc>
          <w:tcPr>
            <w:tcW w:w="680" w:type="dxa"/>
            <w:tcBorders>
              <w:top w:val="single" w:color="000000" w:sz="8" w:space="0"/>
              <w:left w:val="single" w:color="000000" w:sz="8" w:space="0"/>
              <w:bottom w:val="single" w:color="000000" w:sz="8" w:space="0"/>
              <w:right w:val="single" w:color="000000" w:sz="8" w:space="0"/>
            </w:tcBorders>
          </w:tcPr>
          <w:p w14:paraId="48108FC8">
            <w:pPr>
              <w:spacing w:line="360" w:lineRule="auto"/>
              <w:jc w:val="center"/>
              <w:rPr>
                <w:rFonts w:ascii="宋体" w:hAnsi="宋体" w:cs="宋体"/>
                <w:szCs w:val="21"/>
              </w:rPr>
            </w:pPr>
            <w:r>
              <w:rPr>
                <w:rFonts w:hint="eastAsia" w:ascii="宋体" w:hAnsi="宋体" w:cs="宋体"/>
                <w:szCs w:val="21"/>
              </w:rPr>
              <w:t>4</w:t>
            </w:r>
          </w:p>
        </w:tc>
        <w:tc>
          <w:tcPr>
            <w:tcW w:w="2835" w:type="dxa"/>
            <w:tcBorders>
              <w:top w:val="single" w:color="000000" w:sz="8" w:space="0"/>
              <w:left w:val="single" w:color="000000" w:sz="8" w:space="0"/>
              <w:bottom w:val="single" w:color="000000" w:sz="8" w:space="0"/>
              <w:right w:val="single" w:color="000000" w:sz="8" w:space="0"/>
            </w:tcBorders>
          </w:tcPr>
          <w:p w14:paraId="6CB98E8F">
            <w:pPr>
              <w:spacing w:line="360" w:lineRule="auto"/>
              <w:rPr>
                <w:rFonts w:ascii="宋体" w:hAnsi="宋体" w:cs="宋体"/>
                <w:szCs w:val="21"/>
              </w:rPr>
            </w:pPr>
            <w:r>
              <w:rPr>
                <w:rFonts w:hint="eastAsia" w:ascii="宋体" w:hAnsi="宋体" w:cs="宋体"/>
                <w:szCs w:val="21"/>
              </w:rPr>
              <w:t>拟采用设备（材料）的性能（节能环保情况）、档次及质量可靠性</w:t>
            </w:r>
          </w:p>
        </w:tc>
        <w:tc>
          <w:tcPr>
            <w:tcW w:w="681" w:type="dxa"/>
            <w:tcBorders>
              <w:top w:val="single" w:color="000000" w:sz="8" w:space="0"/>
              <w:left w:val="single" w:color="000000" w:sz="8" w:space="0"/>
              <w:bottom w:val="single" w:color="000000" w:sz="8" w:space="0"/>
              <w:right w:val="single" w:color="000000" w:sz="8" w:space="0"/>
            </w:tcBorders>
          </w:tcPr>
          <w:p w14:paraId="6FA480F5">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0</w:t>
            </w:r>
          </w:p>
        </w:tc>
        <w:tc>
          <w:tcPr>
            <w:tcW w:w="4196" w:type="dxa"/>
            <w:tcBorders>
              <w:top w:val="single" w:color="000000" w:sz="8" w:space="0"/>
              <w:left w:val="single" w:color="000000" w:sz="8" w:space="0"/>
              <w:bottom w:val="single" w:color="000000" w:sz="8" w:space="0"/>
              <w:right w:val="single" w:color="000000" w:sz="8" w:space="0"/>
            </w:tcBorders>
          </w:tcPr>
          <w:p w14:paraId="01E435EF">
            <w:pPr>
              <w:autoSpaceDE w:val="0"/>
              <w:autoSpaceDN w:val="0"/>
              <w:adjustRightInd w:val="0"/>
              <w:spacing w:line="360" w:lineRule="auto"/>
              <w:rPr>
                <w:rFonts w:ascii="宋体" w:hAnsi="宋体" w:cs="宋体"/>
                <w:snapToGrid w:val="0"/>
                <w:kern w:val="0"/>
                <w:szCs w:val="21"/>
              </w:rPr>
            </w:pPr>
            <w:r>
              <w:rPr>
                <w:rFonts w:hint="eastAsia" w:ascii="宋体" w:hAnsi="宋体" w:cs="宋体"/>
                <w:snapToGrid w:val="0"/>
                <w:kern w:val="0"/>
                <w:szCs w:val="21"/>
              </w:rPr>
              <w:t>（一）评审内容：</w:t>
            </w:r>
          </w:p>
          <w:p w14:paraId="76D14DA5">
            <w:pPr>
              <w:autoSpaceDE w:val="0"/>
              <w:autoSpaceDN w:val="0"/>
              <w:adjustRightInd w:val="0"/>
              <w:spacing w:line="360" w:lineRule="auto"/>
              <w:rPr>
                <w:rFonts w:ascii="宋体" w:hAnsi="宋体" w:cs="宋体"/>
                <w:kern w:val="0"/>
                <w:szCs w:val="21"/>
              </w:rPr>
            </w:pPr>
            <w:r>
              <w:rPr>
                <w:rFonts w:hint="eastAsia" w:ascii="宋体" w:hAnsi="宋体" w:cs="宋体"/>
                <w:snapToGrid w:val="0"/>
                <w:kern w:val="0"/>
                <w:szCs w:val="21"/>
              </w:rPr>
              <w:t>考察投标人提供的</w:t>
            </w:r>
            <w:r>
              <w:rPr>
                <w:rFonts w:hint="eastAsia" w:ascii="宋体" w:hAnsi="宋体" w:cs="宋体"/>
                <w:szCs w:val="21"/>
              </w:rPr>
              <w:t>设备（材料）响应方案</w:t>
            </w:r>
            <w:r>
              <w:rPr>
                <w:rFonts w:hint="eastAsia" w:ascii="宋体" w:hAnsi="宋体" w:cs="宋体"/>
                <w:kern w:val="0"/>
                <w:szCs w:val="21"/>
              </w:rPr>
              <w:t>，包含以下内容：</w:t>
            </w:r>
          </w:p>
          <w:p w14:paraId="6B938CAE">
            <w:pPr>
              <w:autoSpaceDE w:val="0"/>
              <w:autoSpaceDN w:val="0"/>
              <w:adjustRightInd w:val="0"/>
              <w:spacing w:line="360" w:lineRule="auto"/>
              <w:rPr>
                <w:rFonts w:ascii="宋体" w:hAnsi="宋体" w:cs="宋体"/>
                <w:kern w:val="0"/>
                <w:szCs w:val="21"/>
              </w:rPr>
            </w:pPr>
            <w:r>
              <w:rPr>
                <w:rFonts w:hint="eastAsia" w:ascii="宋体" w:hAnsi="宋体" w:cs="宋体"/>
                <w:szCs w:val="21"/>
              </w:rPr>
              <w:t>（1）拟采用设备（材料）的性能</w:t>
            </w:r>
            <w:r>
              <w:rPr>
                <w:rFonts w:hint="eastAsia" w:ascii="宋体" w:hAnsi="宋体" w:cs="宋体"/>
                <w:kern w:val="0"/>
                <w:szCs w:val="21"/>
              </w:rPr>
              <w:t>；</w:t>
            </w:r>
          </w:p>
          <w:p w14:paraId="520413B7">
            <w:pPr>
              <w:autoSpaceDE w:val="0"/>
              <w:autoSpaceDN w:val="0"/>
              <w:adjustRightInd w:val="0"/>
              <w:spacing w:line="360" w:lineRule="auto"/>
              <w:rPr>
                <w:rFonts w:ascii="宋体" w:hAnsi="宋体" w:cs="宋体"/>
                <w:kern w:val="0"/>
                <w:szCs w:val="21"/>
              </w:rPr>
            </w:pPr>
            <w:r>
              <w:rPr>
                <w:rFonts w:hint="eastAsia" w:ascii="宋体" w:hAnsi="宋体" w:cs="宋体"/>
                <w:szCs w:val="21"/>
              </w:rPr>
              <w:t>（2）拟采用设备（材料）的节能环保情况</w:t>
            </w:r>
            <w:r>
              <w:rPr>
                <w:rFonts w:hint="eastAsia" w:ascii="宋体" w:hAnsi="宋体" w:cs="宋体"/>
                <w:kern w:val="0"/>
                <w:szCs w:val="21"/>
              </w:rPr>
              <w:t>；</w:t>
            </w:r>
          </w:p>
          <w:p w14:paraId="6C978629">
            <w:pPr>
              <w:autoSpaceDE w:val="0"/>
              <w:autoSpaceDN w:val="0"/>
              <w:adjustRightInd w:val="0"/>
              <w:spacing w:line="360" w:lineRule="auto"/>
              <w:rPr>
                <w:rFonts w:ascii="宋体" w:hAnsi="宋体" w:cs="宋体"/>
                <w:kern w:val="0"/>
                <w:szCs w:val="21"/>
              </w:rPr>
            </w:pPr>
            <w:r>
              <w:rPr>
                <w:rFonts w:hint="eastAsia" w:ascii="宋体" w:hAnsi="宋体" w:cs="宋体"/>
                <w:szCs w:val="21"/>
              </w:rPr>
              <w:t>（3）拟采用设备（材料）的质量情况</w:t>
            </w:r>
            <w:r>
              <w:rPr>
                <w:rFonts w:hint="eastAsia" w:ascii="宋体" w:hAnsi="宋体" w:cs="宋体"/>
                <w:kern w:val="0"/>
                <w:szCs w:val="21"/>
              </w:rPr>
              <w:t>。</w:t>
            </w:r>
          </w:p>
          <w:p w14:paraId="6CF30270">
            <w:pPr>
              <w:adjustRightInd w:val="0"/>
              <w:snapToGrid w:val="0"/>
              <w:spacing w:line="360" w:lineRule="auto"/>
              <w:rPr>
                <w:rFonts w:ascii="宋体" w:hAnsi="宋体" w:cs="宋体"/>
                <w:snapToGrid w:val="0"/>
                <w:kern w:val="0"/>
                <w:szCs w:val="21"/>
              </w:rPr>
            </w:pPr>
          </w:p>
          <w:p w14:paraId="7DC31DEA">
            <w:pPr>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t>（二）评分标准：</w:t>
            </w:r>
          </w:p>
          <w:p w14:paraId="302AD2D5">
            <w:pPr>
              <w:spacing w:line="360" w:lineRule="auto"/>
              <w:rPr>
                <w:rFonts w:ascii="宋体" w:hAnsi="宋体" w:cs="宋体"/>
                <w:szCs w:val="21"/>
              </w:rPr>
            </w:pPr>
            <w:r>
              <w:rPr>
                <w:rFonts w:hint="eastAsia" w:ascii="宋体" w:hAnsi="宋体" w:cs="宋体"/>
                <w:szCs w:val="21"/>
              </w:rPr>
              <w:t>方案包含以上三项内容得</w:t>
            </w:r>
            <w:r>
              <w:rPr>
                <w:rFonts w:ascii="宋体" w:hAnsi="宋体" w:cs="宋体"/>
                <w:szCs w:val="21"/>
              </w:rPr>
              <w:t>30</w:t>
            </w:r>
            <w:r>
              <w:rPr>
                <w:rFonts w:hint="eastAsia" w:ascii="宋体" w:hAnsi="宋体" w:cs="宋体"/>
                <w:szCs w:val="21"/>
              </w:rPr>
              <w:t>分；包含以上二项内容得</w:t>
            </w:r>
            <w:r>
              <w:rPr>
                <w:rFonts w:ascii="宋体" w:hAnsi="宋体" w:cs="宋体"/>
                <w:szCs w:val="21"/>
              </w:rPr>
              <w:t>20</w:t>
            </w:r>
            <w:r>
              <w:rPr>
                <w:rFonts w:hint="eastAsia" w:ascii="宋体" w:hAnsi="宋体" w:cs="宋体"/>
                <w:szCs w:val="21"/>
              </w:rPr>
              <w:t>分；包含以上一项内容得1</w:t>
            </w:r>
            <w:r>
              <w:rPr>
                <w:rFonts w:ascii="宋体" w:hAnsi="宋体" w:cs="宋体"/>
                <w:szCs w:val="21"/>
              </w:rPr>
              <w:t>0</w:t>
            </w:r>
            <w:r>
              <w:rPr>
                <w:rFonts w:hint="eastAsia" w:ascii="宋体" w:hAnsi="宋体" w:cs="宋体"/>
                <w:szCs w:val="21"/>
              </w:rPr>
              <w:t>分；其他情况不得分。</w:t>
            </w:r>
          </w:p>
          <w:p w14:paraId="19725E8E">
            <w:pPr>
              <w:spacing w:line="360" w:lineRule="auto"/>
              <w:rPr>
                <w:rFonts w:ascii="宋体" w:hAnsi="宋体" w:cs="宋体"/>
                <w:szCs w:val="21"/>
              </w:rPr>
            </w:pPr>
            <w:r>
              <w:rPr>
                <w:rFonts w:hint="eastAsia" w:ascii="宋体" w:hAnsi="宋体" w:cs="宋体"/>
                <w:szCs w:val="21"/>
              </w:rPr>
              <w:t>在此基础上，根据方案响应情况进一步评审：</w:t>
            </w:r>
          </w:p>
          <w:p w14:paraId="2C936123">
            <w:pPr>
              <w:spacing w:line="360" w:lineRule="auto"/>
              <w:rPr>
                <w:rFonts w:ascii="宋体" w:hAnsi="宋体" w:cs="宋体"/>
                <w:szCs w:val="21"/>
              </w:rPr>
            </w:pPr>
            <w:r>
              <w:rPr>
                <w:rFonts w:hint="eastAsia" w:ascii="宋体" w:hAnsi="宋体" w:cs="宋体"/>
                <w:szCs w:val="21"/>
              </w:rPr>
              <w:t>（1）方案内容全面、具体，可行性高，加70分；</w:t>
            </w:r>
          </w:p>
          <w:p w14:paraId="5D4D0FA8">
            <w:pPr>
              <w:spacing w:line="360" w:lineRule="auto"/>
              <w:rPr>
                <w:rFonts w:ascii="宋体" w:hAnsi="宋体" w:cs="宋体"/>
                <w:szCs w:val="21"/>
              </w:rPr>
            </w:pPr>
            <w:r>
              <w:rPr>
                <w:rFonts w:hint="eastAsia" w:ascii="宋体" w:hAnsi="宋体" w:cs="宋体"/>
                <w:szCs w:val="21"/>
              </w:rPr>
              <w:t>（2）方案内容较全面，可行性较高，加40分；</w:t>
            </w:r>
          </w:p>
          <w:p w14:paraId="777DABDC">
            <w:pPr>
              <w:spacing w:line="360" w:lineRule="auto"/>
              <w:rPr>
                <w:rFonts w:ascii="宋体" w:hAnsi="宋体" w:cs="宋体"/>
                <w:szCs w:val="21"/>
              </w:rPr>
            </w:pPr>
            <w:r>
              <w:rPr>
                <w:rFonts w:hint="eastAsia" w:ascii="宋体" w:hAnsi="宋体" w:cs="宋体"/>
                <w:szCs w:val="21"/>
              </w:rPr>
              <w:t>（3）方案全面性、可行性一般，加10分；</w:t>
            </w:r>
          </w:p>
          <w:p w14:paraId="294A06BE">
            <w:pPr>
              <w:adjustRightInd w:val="0"/>
              <w:snapToGrid w:val="0"/>
              <w:spacing w:line="360" w:lineRule="auto"/>
              <w:jc w:val="left"/>
              <w:rPr>
                <w:rFonts w:ascii="宋体" w:hAnsi="宋体" w:cs="宋体"/>
                <w:szCs w:val="21"/>
              </w:rPr>
            </w:pPr>
            <w:r>
              <w:rPr>
                <w:rFonts w:hint="eastAsia" w:ascii="宋体" w:hAnsi="宋体" w:cs="宋体"/>
                <w:szCs w:val="21"/>
              </w:rPr>
              <w:t>（4）方案不全，可行性低，不加分。</w:t>
            </w:r>
          </w:p>
        </w:tc>
      </w:tr>
      <w:tr w14:paraId="554287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0" w:type="auto"/>
            <w:vMerge w:val="continue"/>
            <w:tcBorders>
              <w:left w:val="single" w:color="000000" w:sz="8" w:space="0"/>
              <w:bottom w:val="single" w:color="000000" w:sz="8" w:space="0"/>
              <w:right w:val="single" w:color="000000" w:sz="8" w:space="0"/>
            </w:tcBorders>
            <w:vAlign w:val="center"/>
          </w:tcPr>
          <w:p w14:paraId="66F64A8C">
            <w:pPr>
              <w:spacing w:line="360" w:lineRule="auto"/>
              <w:rPr>
                <w:rFonts w:ascii="宋体" w:hAnsi="宋体" w:cs="宋体"/>
                <w:b/>
                <w:bCs/>
                <w:color w:val="0000FF"/>
                <w:szCs w:val="21"/>
              </w:rPr>
            </w:pPr>
          </w:p>
        </w:tc>
        <w:tc>
          <w:tcPr>
            <w:tcW w:w="680" w:type="dxa"/>
            <w:tcBorders>
              <w:top w:val="single" w:color="000000" w:sz="8" w:space="0"/>
              <w:left w:val="single" w:color="000000" w:sz="8" w:space="0"/>
              <w:bottom w:val="single" w:color="000000" w:sz="8" w:space="0"/>
              <w:right w:val="single" w:color="000000" w:sz="8" w:space="0"/>
            </w:tcBorders>
          </w:tcPr>
          <w:p w14:paraId="065D8B71">
            <w:pPr>
              <w:spacing w:line="360" w:lineRule="auto"/>
              <w:jc w:val="center"/>
              <w:rPr>
                <w:rFonts w:ascii="宋体" w:hAnsi="宋体" w:cs="宋体"/>
                <w:szCs w:val="21"/>
              </w:rPr>
            </w:pPr>
            <w:r>
              <w:rPr>
                <w:rFonts w:hint="eastAsia" w:ascii="宋体" w:hAnsi="宋体" w:cs="宋体"/>
                <w:szCs w:val="21"/>
              </w:rPr>
              <w:t>5</w:t>
            </w:r>
          </w:p>
        </w:tc>
        <w:tc>
          <w:tcPr>
            <w:tcW w:w="2835" w:type="dxa"/>
            <w:tcBorders>
              <w:top w:val="single" w:color="000000" w:sz="8" w:space="0"/>
              <w:left w:val="single" w:color="000000" w:sz="8" w:space="0"/>
              <w:bottom w:val="single" w:color="000000" w:sz="8" w:space="0"/>
              <w:right w:val="single" w:color="000000" w:sz="8" w:space="0"/>
            </w:tcBorders>
          </w:tcPr>
          <w:p w14:paraId="10370C7D">
            <w:pPr>
              <w:spacing w:line="360" w:lineRule="auto"/>
              <w:rPr>
                <w:rFonts w:ascii="宋体" w:hAnsi="宋体" w:cs="宋体"/>
                <w:szCs w:val="21"/>
              </w:rPr>
            </w:pPr>
            <w:r>
              <w:rPr>
                <w:rFonts w:hint="eastAsia" w:ascii="宋体" w:hAnsi="宋体" w:cs="宋体"/>
                <w:szCs w:val="21"/>
              </w:rPr>
              <w:t>施工质量（安全、环保、工期）保障措施、售后服务及违约承诺</w:t>
            </w:r>
          </w:p>
        </w:tc>
        <w:tc>
          <w:tcPr>
            <w:tcW w:w="681" w:type="dxa"/>
            <w:tcBorders>
              <w:top w:val="single" w:color="000000" w:sz="8" w:space="0"/>
              <w:left w:val="single" w:color="000000" w:sz="8" w:space="0"/>
              <w:bottom w:val="single" w:color="000000" w:sz="8" w:space="0"/>
              <w:right w:val="single" w:color="000000" w:sz="8" w:space="0"/>
            </w:tcBorders>
          </w:tcPr>
          <w:p w14:paraId="7E07BE15">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0</w:t>
            </w:r>
          </w:p>
        </w:tc>
        <w:tc>
          <w:tcPr>
            <w:tcW w:w="4196" w:type="dxa"/>
            <w:tcBorders>
              <w:top w:val="single" w:color="000000" w:sz="8" w:space="0"/>
              <w:left w:val="single" w:color="000000" w:sz="8" w:space="0"/>
              <w:bottom w:val="single" w:color="000000" w:sz="8" w:space="0"/>
              <w:right w:val="single" w:color="000000" w:sz="8" w:space="0"/>
            </w:tcBorders>
          </w:tcPr>
          <w:p w14:paraId="2C81683B">
            <w:pPr>
              <w:autoSpaceDE w:val="0"/>
              <w:autoSpaceDN w:val="0"/>
              <w:adjustRightInd w:val="0"/>
              <w:spacing w:line="360" w:lineRule="auto"/>
              <w:rPr>
                <w:rFonts w:ascii="宋体" w:hAnsi="宋体" w:cs="宋体"/>
                <w:snapToGrid w:val="0"/>
                <w:kern w:val="0"/>
                <w:szCs w:val="21"/>
              </w:rPr>
            </w:pPr>
            <w:r>
              <w:rPr>
                <w:rFonts w:hint="eastAsia" w:ascii="宋体" w:hAnsi="宋体" w:cs="宋体"/>
                <w:snapToGrid w:val="0"/>
                <w:kern w:val="0"/>
                <w:szCs w:val="21"/>
              </w:rPr>
              <w:t>（一）评审内容：</w:t>
            </w:r>
          </w:p>
          <w:p w14:paraId="42065D36">
            <w:pPr>
              <w:autoSpaceDE w:val="0"/>
              <w:autoSpaceDN w:val="0"/>
              <w:adjustRightInd w:val="0"/>
              <w:spacing w:line="360" w:lineRule="auto"/>
              <w:rPr>
                <w:rFonts w:ascii="宋体" w:hAnsi="宋体" w:cs="宋体"/>
                <w:kern w:val="0"/>
                <w:szCs w:val="21"/>
              </w:rPr>
            </w:pPr>
            <w:r>
              <w:rPr>
                <w:rFonts w:hint="eastAsia" w:ascii="宋体" w:hAnsi="宋体" w:cs="宋体"/>
                <w:snapToGrid w:val="0"/>
                <w:kern w:val="0"/>
                <w:szCs w:val="21"/>
              </w:rPr>
              <w:t>考察投标人提供的</w:t>
            </w:r>
            <w:r>
              <w:rPr>
                <w:rFonts w:hint="eastAsia" w:ascii="宋体" w:hAnsi="宋体" w:cs="宋体"/>
                <w:szCs w:val="21"/>
              </w:rPr>
              <w:t>施工质量（安全、环保、工期）保障措施、售后服务及违约承诺</w:t>
            </w:r>
            <w:r>
              <w:rPr>
                <w:rFonts w:hint="eastAsia" w:ascii="宋体" w:hAnsi="宋体" w:cs="宋体"/>
                <w:kern w:val="0"/>
                <w:szCs w:val="21"/>
              </w:rPr>
              <w:t>，包含以下内容：</w:t>
            </w:r>
          </w:p>
          <w:p w14:paraId="65C690FC">
            <w:pPr>
              <w:autoSpaceDE w:val="0"/>
              <w:autoSpaceDN w:val="0"/>
              <w:adjustRightInd w:val="0"/>
              <w:spacing w:line="360" w:lineRule="auto"/>
              <w:rPr>
                <w:rFonts w:ascii="宋体" w:hAnsi="宋体" w:cs="宋体"/>
                <w:kern w:val="0"/>
                <w:szCs w:val="21"/>
              </w:rPr>
            </w:pPr>
            <w:r>
              <w:rPr>
                <w:rFonts w:hint="eastAsia" w:ascii="宋体" w:hAnsi="宋体" w:cs="宋体"/>
                <w:szCs w:val="21"/>
              </w:rPr>
              <w:t>（1）施工质量（安全、环保、工期）保障措施</w:t>
            </w:r>
            <w:r>
              <w:rPr>
                <w:rFonts w:hint="eastAsia" w:ascii="宋体" w:hAnsi="宋体" w:cs="宋体"/>
                <w:kern w:val="0"/>
                <w:szCs w:val="21"/>
              </w:rPr>
              <w:t>；</w:t>
            </w:r>
          </w:p>
          <w:p w14:paraId="0E399F0B">
            <w:pPr>
              <w:autoSpaceDE w:val="0"/>
              <w:autoSpaceDN w:val="0"/>
              <w:adjustRightInd w:val="0"/>
              <w:spacing w:line="360" w:lineRule="auto"/>
              <w:rPr>
                <w:rFonts w:ascii="宋体" w:hAnsi="宋体" w:cs="宋体"/>
                <w:szCs w:val="21"/>
              </w:rPr>
            </w:pPr>
            <w:r>
              <w:rPr>
                <w:rFonts w:hint="eastAsia" w:ascii="宋体" w:hAnsi="宋体" w:cs="宋体"/>
                <w:szCs w:val="21"/>
              </w:rPr>
              <w:t>（2）售后服务承诺；</w:t>
            </w:r>
          </w:p>
          <w:p w14:paraId="0498D9BA">
            <w:pPr>
              <w:autoSpaceDE w:val="0"/>
              <w:autoSpaceDN w:val="0"/>
              <w:adjustRightInd w:val="0"/>
              <w:spacing w:line="360" w:lineRule="auto"/>
              <w:rPr>
                <w:rFonts w:ascii="宋体" w:hAnsi="宋体" w:cs="宋体"/>
                <w:kern w:val="0"/>
                <w:szCs w:val="21"/>
              </w:rPr>
            </w:pPr>
            <w:r>
              <w:rPr>
                <w:rFonts w:hint="eastAsia" w:ascii="宋体" w:hAnsi="宋体" w:cs="宋体"/>
                <w:szCs w:val="21"/>
              </w:rPr>
              <w:t>（3）违约承诺</w:t>
            </w:r>
            <w:r>
              <w:rPr>
                <w:rFonts w:hint="eastAsia" w:ascii="宋体" w:hAnsi="宋体" w:cs="宋体"/>
                <w:kern w:val="0"/>
                <w:szCs w:val="21"/>
              </w:rPr>
              <w:t>。</w:t>
            </w:r>
          </w:p>
          <w:p w14:paraId="0A2EFA5C">
            <w:pPr>
              <w:adjustRightInd w:val="0"/>
              <w:snapToGrid w:val="0"/>
              <w:spacing w:line="360" w:lineRule="auto"/>
              <w:rPr>
                <w:rFonts w:ascii="宋体" w:hAnsi="宋体" w:cs="宋体"/>
                <w:snapToGrid w:val="0"/>
                <w:kern w:val="0"/>
                <w:szCs w:val="21"/>
              </w:rPr>
            </w:pPr>
          </w:p>
          <w:p w14:paraId="33307722">
            <w:pPr>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t>（二）评分标准：</w:t>
            </w:r>
          </w:p>
          <w:p w14:paraId="3CFFA1C0">
            <w:pPr>
              <w:spacing w:line="360" w:lineRule="auto"/>
              <w:rPr>
                <w:rFonts w:ascii="宋体" w:hAnsi="宋体" w:cs="宋体"/>
                <w:szCs w:val="21"/>
              </w:rPr>
            </w:pPr>
            <w:r>
              <w:rPr>
                <w:rFonts w:hint="eastAsia" w:ascii="宋体" w:hAnsi="宋体" w:cs="宋体"/>
                <w:szCs w:val="21"/>
              </w:rPr>
              <w:t>方案包含以上三项内容得30分；包含以上二项内容得20分；包含以上一项内容得10分；其他情况不得分。</w:t>
            </w:r>
          </w:p>
          <w:p w14:paraId="3D248328">
            <w:pPr>
              <w:spacing w:line="360" w:lineRule="auto"/>
              <w:rPr>
                <w:rFonts w:ascii="宋体" w:hAnsi="宋体" w:cs="宋体"/>
                <w:szCs w:val="21"/>
              </w:rPr>
            </w:pPr>
            <w:r>
              <w:rPr>
                <w:rFonts w:hint="eastAsia" w:ascii="宋体" w:hAnsi="宋体" w:cs="宋体"/>
                <w:szCs w:val="21"/>
              </w:rPr>
              <w:t>在此基础上，根据方案响应情况进一步评审：</w:t>
            </w:r>
          </w:p>
          <w:p w14:paraId="49E53A02">
            <w:pPr>
              <w:spacing w:line="360" w:lineRule="auto"/>
              <w:rPr>
                <w:rFonts w:ascii="宋体" w:hAnsi="宋体" w:cs="宋体"/>
                <w:szCs w:val="21"/>
              </w:rPr>
            </w:pPr>
            <w:r>
              <w:rPr>
                <w:rFonts w:hint="eastAsia" w:ascii="宋体" w:hAnsi="宋体" w:cs="宋体"/>
                <w:szCs w:val="21"/>
              </w:rPr>
              <w:t>（1）方案内容全面、具体，可行性高，加70分；</w:t>
            </w:r>
          </w:p>
          <w:p w14:paraId="6812FFC1">
            <w:pPr>
              <w:spacing w:line="360" w:lineRule="auto"/>
              <w:rPr>
                <w:rFonts w:ascii="宋体" w:hAnsi="宋体" w:cs="宋体"/>
                <w:szCs w:val="21"/>
              </w:rPr>
            </w:pPr>
            <w:r>
              <w:rPr>
                <w:rFonts w:hint="eastAsia" w:ascii="宋体" w:hAnsi="宋体" w:cs="宋体"/>
                <w:szCs w:val="21"/>
              </w:rPr>
              <w:t>（2）方案内容较全面，可行性较高，加40分；</w:t>
            </w:r>
          </w:p>
          <w:p w14:paraId="55F78EB0">
            <w:pPr>
              <w:spacing w:line="360" w:lineRule="auto"/>
              <w:rPr>
                <w:rFonts w:ascii="宋体" w:hAnsi="宋体" w:cs="宋体"/>
                <w:szCs w:val="21"/>
              </w:rPr>
            </w:pPr>
            <w:r>
              <w:rPr>
                <w:rFonts w:hint="eastAsia" w:ascii="宋体" w:hAnsi="宋体" w:cs="宋体"/>
                <w:szCs w:val="21"/>
              </w:rPr>
              <w:t>（3）方案全面性、可行性一般，加10分；</w:t>
            </w:r>
          </w:p>
          <w:p w14:paraId="3EC9D8A8">
            <w:pPr>
              <w:adjustRightInd w:val="0"/>
              <w:snapToGrid w:val="0"/>
              <w:spacing w:line="360" w:lineRule="auto"/>
              <w:jc w:val="left"/>
              <w:rPr>
                <w:rFonts w:ascii="宋体" w:hAnsi="宋体" w:cs="宋体"/>
                <w:szCs w:val="21"/>
              </w:rPr>
            </w:pPr>
            <w:r>
              <w:rPr>
                <w:rFonts w:hint="eastAsia" w:ascii="宋体" w:hAnsi="宋体" w:cs="宋体"/>
                <w:szCs w:val="21"/>
              </w:rPr>
              <w:t>（4）方案不全，可行性低，不加分。</w:t>
            </w:r>
          </w:p>
        </w:tc>
      </w:tr>
      <w:tr w14:paraId="71866A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16FCCE52">
            <w:pPr>
              <w:spacing w:line="360" w:lineRule="auto"/>
              <w:jc w:val="center"/>
              <w:rPr>
                <w:rFonts w:ascii="宋体" w:hAnsi="宋体" w:cs="宋体"/>
                <w:b/>
                <w:bCs/>
                <w:color w:val="0000FF"/>
                <w:szCs w:val="21"/>
              </w:rPr>
            </w:pPr>
            <w:r>
              <w:rPr>
                <w:rFonts w:hint="eastAsia" w:ascii="宋体" w:hAnsi="宋体" w:cs="宋体"/>
                <w:b/>
                <w:bCs/>
                <w:color w:val="0000FF"/>
                <w:szCs w:val="21"/>
              </w:rPr>
              <w:t>3</w:t>
            </w:r>
          </w:p>
        </w:tc>
        <w:tc>
          <w:tcPr>
            <w:tcW w:w="4196" w:type="dxa"/>
            <w:gridSpan w:val="3"/>
            <w:tcBorders>
              <w:top w:val="single" w:color="000000" w:sz="8" w:space="0"/>
              <w:left w:val="single" w:color="000000" w:sz="8" w:space="0"/>
              <w:bottom w:val="single" w:color="000000" w:sz="8" w:space="0"/>
              <w:right w:val="single" w:color="000000" w:sz="8" w:space="0"/>
            </w:tcBorders>
          </w:tcPr>
          <w:p w14:paraId="293650D0">
            <w:pPr>
              <w:spacing w:line="360" w:lineRule="auto"/>
              <w:jc w:val="center"/>
              <w:rPr>
                <w:rFonts w:ascii="宋体" w:hAnsi="宋体" w:cs="宋体"/>
                <w:b/>
                <w:bCs/>
                <w:color w:val="0000FF"/>
                <w:szCs w:val="21"/>
              </w:rPr>
            </w:pPr>
            <w:r>
              <w:rPr>
                <w:rFonts w:hint="eastAsia" w:ascii="宋体" w:hAnsi="宋体" w:cs="宋体"/>
                <w:b/>
                <w:bCs/>
                <w:color w:val="0000FF"/>
                <w:szCs w:val="21"/>
              </w:rPr>
              <w:t>商务</w:t>
            </w:r>
          </w:p>
        </w:tc>
        <w:tc>
          <w:tcPr>
            <w:tcW w:w="4196" w:type="dxa"/>
            <w:tcBorders>
              <w:top w:val="single" w:color="000000" w:sz="8" w:space="0"/>
              <w:left w:val="single" w:color="000000" w:sz="8" w:space="0"/>
              <w:bottom w:val="single" w:color="000000" w:sz="8" w:space="0"/>
              <w:right w:val="single" w:color="000000" w:sz="8" w:space="0"/>
            </w:tcBorders>
          </w:tcPr>
          <w:p w14:paraId="60D61128">
            <w:pPr>
              <w:spacing w:line="360" w:lineRule="auto"/>
              <w:jc w:val="center"/>
              <w:rPr>
                <w:rFonts w:ascii="宋体" w:hAnsi="宋体" w:cs="宋体"/>
                <w:b/>
                <w:bCs/>
                <w:color w:val="0000FF"/>
                <w:szCs w:val="21"/>
              </w:rPr>
            </w:pPr>
            <w:r>
              <w:rPr>
                <w:rFonts w:hint="eastAsia" w:ascii="宋体" w:hAnsi="宋体" w:cs="宋体"/>
                <w:b/>
                <w:bCs/>
                <w:color w:val="0000FF"/>
                <w:szCs w:val="21"/>
              </w:rPr>
              <w:t>5</w:t>
            </w:r>
          </w:p>
        </w:tc>
      </w:tr>
      <w:tr w14:paraId="6AC9E1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6B3CD16A">
            <w:pPr>
              <w:spacing w:line="360" w:lineRule="auto"/>
              <w:rPr>
                <w:rFonts w:ascii="宋体" w:hAnsi="宋体" w:cs="宋体"/>
                <w:b/>
                <w:bCs/>
                <w:color w:val="0000FF"/>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E43425B">
            <w:pPr>
              <w:spacing w:line="360" w:lineRule="auto"/>
              <w:jc w:val="center"/>
              <w:rPr>
                <w:rFonts w:ascii="宋体" w:hAnsi="宋体" w:cs="宋体"/>
                <w:szCs w:val="21"/>
              </w:rPr>
            </w:pPr>
            <w:r>
              <w:rPr>
                <w:rFonts w:hint="eastAsia" w:ascii="宋体" w:hAnsi="宋体" w:cs="宋体"/>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7CEE180">
            <w:pPr>
              <w:spacing w:line="360" w:lineRule="auto"/>
              <w:jc w:val="center"/>
              <w:rPr>
                <w:rFonts w:ascii="宋体" w:hAnsi="宋体" w:cs="宋体"/>
                <w:szCs w:val="21"/>
              </w:rPr>
            </w:pPr>
            <w:r>
              <w:rPr>
                <w:rFonts w:hint="eastAsia" w:ascii="宋体" w:hAnsi="宋体" w:cs="宋体"/>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E6067BE">
            <w:pPr>
              <w:spacing w:line="360" w:lineRule="auto"/>
              <w:jc w:val="center"/>
              <w:rPr>
                <w:rFonts w:ascii="宋体" w:hAnsi="宋体" w:cs="宋体"/>
                <w:szCs w:val="21"/>
              </w:rPr>
            </w:pPr>
            <w:r>
              <w:rPr>
                <w:rFonts w:hint="eastAsia" w:ascii="宋体" w:hAnsi="宋体" w:cs="宋体"/>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0D889D5">
            <w:pPr>
              <w:spacing w:line="360" w:lineRule="auto"/>
              <w:jc w:val="center"/>
              <w:rPr>
                <w:rFonts w:ascii="宋体" w:hAnsi="宋体" w:cs="宋体"/>
                <w:szCs w:val="21"/>
              </w:rPr>
            </w:pPr>
            <w:r>
              <w:rPr>
                <w:rFonts w:hint="eastAsia" w:ascii="宋体" w:hAnsi="宋体" w:cs="宋体"/>
                <w:szCs w:val="21"/>
              </w:rPr>
              <w:t>评分准则</w:t>
            </w:r>
          </w:p>
        </w:tc>
      </w:tr>
      <w:tr w14:paraId="3A8C0D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854" w:hRule="atLeast"/>
          <w:jc w:val="center"/>
        </w:trPr>
        <w:tc>
          <w:tcPr>
            <w:tcW w:w="680" w:type="dxa"/>
            <w:vMerge w:val="continue"/>
            <w:tcBorders>
              <w:left w:val="single" w:color="000000" w:sz="8" w:space="0"/>
              <w:right w:val="single" w:color="000000" w:sz="8" w:space="0"/>
            </w:tcBorders>
            <w:vAlign w:val="center"/>
          </w:tcPr>
          <w:p w14:paraId="467927B0">
            <w:pPr>
              <w:spacing w:line="360" w:lineRule="auto"/>
              <w:rPr>
                <w:rFonts w:ascii="宋体" w:hAnsi="宋体" w:cs="宋体"/>
                <w:b/>
                <w:bCs/>
                <w:color w:val="0000FF"/>
                <w:szCs w:val="21"/>
              </w:rPr>
            </w:pPr>
          </w:p>
        </w:tc>
        <w:tc>
          <w:tcPr>
            <w:tcW w:w="680" w:type="dxa"/>
            <w:tcBorders>
              <w:top w:val="single" w:color="000000" w:sz="8" w:space="0"/>
              <w:left w:val="single" w:color="000000" w:sz="8" w:space="0"/>
              <w:bottom w:val="single" w:color="000000" w:sz="8" w:space="0"/>
              <w:right w:val="single" w:color="000000" w:sz="8" w:space="0"/>
            </w:tcBorders>
          </w:tcPr>
          <w:p w14:paraId="243EB456">
            <w:pPr>
              <w:spacing w:line="360" w:lineRule="auto"/>
              <w:jc w:val="center"/>
              <w:rPr>
                <w:rFonts w:ascii="宋体" w:hAnsi="宋体" w:cs="宋体"/>
                <w:szCs w:val="21"/>
              </w:rPr>
            </w:pPr>
            <w:r>
              <w:rPr>
                <w:rFonts w:hint="eastAsia" w:ascii="宋体" w:hAnsi="宋体" w:cs="宋体"/>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02405276">
            <w:pPr>
              <w:spacing w:line="360" w:lineRule="auto"/>
              <w:rPr>
                <w:rFonts w:ascii="宋体" w:hAnsi="宋体" w:cs="宋体"/>
                <w:szCs w:val="21"/>
              </w:rPr>
            </w:pPr>
            <w:r>
              <w:rPr>
                <w:rFonts w:hint="eastAsia" w:ascii="宋体" w:hAnsi="宋体" w:cs="宋体"/>
                <w:szCs w:val="21"/>
              </w:rPr>
              <w:t>投标人同类项目业绩情况</w:t>
            </w:r>
          </w:p>
        </w:tc>
        <w:tc>
          <w:tcPr>
            <w:tcW w:w="681" w:type="dxa"/>
            <w:tcBorders>
              <w:top w:val="single" w:color="000000" w:sz="8" w:space="0"/>
              <w:left w:val="single" w:color="000000" w:sz="8" w:space="0"/>
              <w:bottom w:val="single" w:color="000000" w:sz="8" w:space="0"/>
              <w:right w:val="single" w:color="000000" w:sz="8" w:space="0"/>
            </w:tcBorders>
          </w:tcPr>
          <w:p w14:paraId="3C305FE0">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4196" w:type="dxa"/>
            <w:tcBorders>
              <w:top w:val="single" w:color="000000" w:sz="8" w:space="0"/>
              <w:left w:val="single" w:color="000000" w:sz="8" w:space="0"/>
              <w:bottom w:val="single" w:color="000000" w:sz="8" w:space="0"/>
              <w:right w:val="single" w:color="000000" w:sz="8" w:space="0"/>
            </w:tcBorders>
          </w:tcPr>
          <w:p w14:paraId="62260FC4">
            <w:pPr>
              <w:spacing w:line="360" w:lineRule="auto"/>
              <w:rPr>
                <w:rFonts w:ascii="宋体" w:hAnsi="宋体" w:cs="宋体"/>
                <w:szCs w:val="21"/>
              </w:rPr>
            </w:pPr>
            <w:r>
              <w:rPr>
                <w:rFonts w:hint="eastAsia" w:ascii="宋体" w:hAnsi="宋体" w:cs="宋体"/>
                <w:szCs w:val="21"/>
              </w:rPr>
              <w:t>（一）评审内容：</w:t>
            </w:r>
          </w:p>
          <w:p w14:paraId="7D280A1D">
            <w:pPr>
              <w:spacing w:line="360" w:lineRule="auto"/>
              <w:rPr>
                <w:rFonts w:ascii="宋体" w:hAnsi="宋体" w:cs="宋体"/>
                <w:szCs w:val="21"/>
              </w:rPr>
            </w:pPr>
            <w:r>
              <w:rPr>
                <w:rFonts w:hint="eastAsia" w:ascii="宋体" w:hAnsi="宋体" w:cs="宋体"/>
                <w:szCs w:val="21"/>
              </w:rPr>
              <w:t>2020年1月1日至本项目</w:t>
            </w:r>
            <w:r>
              <w:rPr>
                <w:rFonts w:hint="eastAsia" w:ascii="宋体" w:hAnsi="宋体" w:cs="宋体"/>
                <w:color w:val="000000" w:themeColor="text1"/>
                <w:szCs w:val="21"/>
                <w14:textFill>
                  <w14:solidFill>
                    <w14:schemeClr w14:val="tx1"/>
                  </w14:solidFill>
                </w14:textFill>
              </w:rPr>
              <w:t>投标截止</w:t>
            </w:r>
            <w:r>
              <w:rPr>
                <w:rFonts w:hint="eastAsia" w:ascii="宋体" w:hAnsi="宋体" w:cs="宋体"/>
                <w:szCs w:val="21"/>
              </w:rPr>
              <w:t>日（以合同签订日期或合同中载明的履约起始日期为准），投标人具有已完成同类项目业绩的，每提供1个项目得50分,最高得100分。</w:t>
            </w:r>
          </w:p>
          <w:p w14:paraId="16853C01">
            <w:pPr>
              <w:spacing w:line="360" w:lineRule="auto"/>
              <w:rPr>
                <w:rFonts w:ascii="宋体" w:hAnsi="宋体" w:cs="宋体"/>
                <w:szCs w:val="21"/>
              </w:rPr>
            </w:pPr>
          </w:p>
          <w:p w14:paraId="6AE4E2E9">
            <w:pPr>
              <w:spacing w:line="360" w:lineRule="auto"/>
              <w:rPr>
                <w:rFonts w:ascii="宋体" w:hAnsi="宋体" w:cs="宋体"/>
                <w:szCs w:val="21"/>
              </w:rPr>
            </w:pPr>
            <w:r>
              <w:rPr>
                <w:rFonts w:hint="eastAsia" w:ascii="宋体" w:hAnsi="宋体" w:cs="宋体"/>
                <w:szCs w:val="21"/>
              </w:rPr>
              <w:t>（二）评审依据：</w:t>
            </w:r>
          </w:p>
          <w:p w14:paraId="52A0F799">
            <w:pPr>
              <w:spacing w:line="360" w:lineRule="auto"/>
              <w:rPr>
                <w:rFonts w:ascii="宋体" w:hAnsi="宋体" w:cs="宋体"/>
                <w:szCs w:val="21"/>
              </w:rPr>
            </w:pPr>
            <w:r>
              <w:rPr>
                <w:rFonts w:hint="eastAsia" w:ascii="宋体" w:hAnsi="宋体" w:cs="宋体"/>
                <w:szCs w:val="21"/>
              </w:rPr>
              <w:t>提供项目合同及加盖合同甲方公章（或甲方业务章）的项目履约（或验收）合格（或以上）评价证明文件扫描件，原件备查，且提供的材料各项信息不得有任何遮挡，合同需体现签订日期。未按要求提供有效证明材料或提供不清晰导致评委无法识别的均不得分。</w:t>
            </w:r>
          </w:p>
        </w:tc>
      </w:tr>
      <w:tr w14:paraId="4E3497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0" w:type="dxa"/>
            <w:vMerge w:val="continue"/>
            <w:tcBorders>
              <w:left w:val="single" w:color="000000" w:sz="8" w:space="0"/>
              <w:right w:val="single" w:color="000000" w:sz="8" w:space="0"/>
            </w:tcBorders>
            <w:vAlign w:val="center"/>
          </w:tcPr>
          <w:p w14:paraId="463D8996">
            <w:pPr>
              <w:spacing w:line="360" w:lineRule="auto"/>
              <w:rPr>
                <w:rFonts w:ascii="宋体" w:hAnsi="宋体" w:cs="宋体"/>
                <w:b/>
                <w:bCs/>
                <w:color w:val="0000FF"/>
                <w:szCs w:val="21"/>
              </w:rPr>
            </w:pPr>
          </w:p>
        </w:tc>
        <w:tc>
          <w:tcPr>
            <w:tcW w:w="680" w:type="dxa"/>
            <w:tcBorders>
              <w:top w:val="single" w:color="000000" w:sz="8" w:space="0"/>
              <w:left w:val="single" w:color="000000" w:sz="8" w:space="0"/>
              <w:bottom w:val="single" w:color="000000" w:sz="8" w:space="0"/>
              <w:right w:val="single" w:color="000000" w:sz="8" w:space="0"/>
            </w:tcBorders>
          </w:tcPr>
          <w:p w14:paraId="3F09481C">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835" w:type="dxa"/>
            <w:tcBorders>
              <w:top w:val="single" w:color="000000" w:sz="8" w:space="0"/>
              <w:left w:val="single" w:color="000000" w:sz="8" w:space="0"/>
              <w:bottom w:val="single" w:color="000000" w:sz="8" w:space="0"/>
              <w:right w:val="single" w:color="000000" w:sz="8" w:space="0"/>
            </w:tcBorders>
          </w:tcPr>
          <w:p w14:paraId="59801591">
            <w:pPr>
              <w:spacing w:line="360" w:lineRule="auto"/>
              <w:rPr>
                <w:rFonts w:hint="eastAsia" w:ascii="宋体" w:hAnsi="宋体" w:cs="宋体"/>
                <w:szCs w:val="21"/>
              </w:rPr>
            </w:pPr>
            <w:r>
              <w:rPr>
                <w:rFonts w:hint="eastAsia" w:ascii="宋体" w:hAnsi="宋体" w:cs="宋体"/>
                <w:szCs w:val="21"/>
              </w:rPr>
              <w:t>服务网点</w:t>
            </w:r>
            <w:bookmarkStart w:id="81" w:name="_GoBack"/>
            <w:bookmarkEnd w:id="81"/>
          </w:p>
        </w:tc>
        <w:tc>
          <w:tcPr>
            <w:tcW w:w="681" w:type="dxa"/>
            <w:tcBorders>
              <w:top w:val="single" w:color="000000" w:sz="8" w:space="0"/>
              <w:left w:val="single" w:color="000000" w:sz="8" w:space="0"/>
              <w:bottom w:val="single" w:color="000000" w:sz="8" w:space="0"/>
              <w:right w:val="single" w:color="000000" w:sz="8" w:space="0"/>
            </w:tcBorders>
          </w:tcPr>
          <w:p w14:paraId="0BC235EA">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4196" w:type="dxa"/>
            <w:tcBorders>
              <w:top w:val="single" w:color="000000" w:sz="8" w:space="0"/>
              <w:left w:val="single" w:color="000000" w:sz="8" w:space="0"/>
              <w:bottom w:val="single" w:color="000000" w:sz="8" w:space="0"/>
              <w:right w:val="single" w:color="000000" w:sz="8" w:space="0"/>
            </w:tcBorders>
          </w:tcPr>
          <w:p w14:paraId="73D61B7E">
            <w:pPr>
              <w:spacing w:line="360" w:lineRule="auto"/>
              <w:rPr>
                <w:rFonts w:hint="eastAsia" w:ascii="宋体" w:hAnsi="宋体" w:cs="宋体"/>
                <w:szCs w:val="21"/>
              </w:rPr>
            </w:pPr>
            <w:r>
              <w:rPr>
                <w:rFonts w:hint="eastAsia" w:ascii="宋体" w:hAnsi="宋体" w:cs="宋体"/>
                <w:szCs w:val="21"/>
              </w:rPr>
              <w:t>（一）评分内容：</w:t>
            </w:r>
          </w:p>
          <w:p w14:paraId="4F2ED8F6">
            <w:pPr>
              <w:spacing w:line="360" w:lineRule="auto"/>
              <w:rPr>
                <w:rFonts w:hint="eastAsia" w:ascii="宋体" w:hAnsi="宋体" w:cs="宋体"/>
                <w:szCs w:val="21"/>
              </w:rPr>
            </w:pPr>
            <w:r>
              <w:rPr>
                <w:rFonts w:hint="eastAsia" w:ascii="宋体" w:hAnsi="宋体" w:cs="宋体"/>
                <w:szCs w:val="21"/>
              </w:rPr>
              <w:t>投标人承诺中标后提供本地服务网点的，得100分。</w:t>
            </w:r>
          </w:p>
          <w:p w14:paraId="5D3C4031">
            <w:pPr>
              <w:spacing w:line="360" w:lineRule="auto"/>
              <w:rPr>
                <w:rFonts w:hint="eastAsia" w:ascii="宋体" w:hAnsi="宋体" w:cs="宋体"/>
                <w:szCs w:val="21"/>
              </w:rPr>
            </w:pPr>
          </w:p>
          <w:p w14:paraId="4BCCAA13">
            <w:pPr>
              <w:spacing w:line="360" w:lineRule="auto"/>
              <w:rPr>
                <w:rFonts w:hint="eastAsia" w:ascii="宋体" w:hAnsi="宋体" w:cs="宋体"/>
                <w:szCs w:val="21"/>
              </w:rPr>
            </w:pPr>
            <w:r>
              <w:rPr>
                <w:rFonts w:hint="eastAsia" w:ascii="宋体" w:hAnsi="宋体" w:cs="宋体"/>
                <w:szCs w:val="21"/>
              </w:rPr>
              <w:t>（二）评分依据：</w:t>
            </w:r>
          </w:p>
          <w:p w14:paraId="02AF033D">
            <w:pPr>
              <w:spacing w:line="360" w:lineRule="auto"/>
              <w:rPr>
                <w:rFonts w:hint="eastAsia" w:ascii="宋体" w:hAnsi="宋体" w:cs="宋体"/>
                <w:szCs w:val="21"/>
              </w:rPr>
            </w:pPr>
            <w:r>
              <w:rPr>
                <w:rFonts w:hint="eastAsia" w:ascii="宋体" w:hAnsi="宋体" w:cs="宋体"/>
                <w:szCs w:val="21"/>
              </w:rPr>
              <w:t>提供承诺函（格式</w:t>
            </w:r>
            <w:r>
              <w:rPr>
                <w:rFonts w:hint="eastAsia" w:ascii="宋体" w:hAnsi="宋体" w:cs="宋体"/>
                <w:szCs w:val="21"/>
                <w:lang w:val="en-US" w:eastAsia="zh-CN"/>
              </w:rPr>
              <w:t>自定</w:t>
            </w:r>
            <w:r>
              <w:rPr>
                <w:rFonts w:hint="eastAsia" w:ascii="宋体" w:hAnsi="宋体" w:cs="宋体"/>
                <w:szCs w:val="21"/>
              </w:rPr>
              <w:t>）作为</w:t>
            </w:r>
            <w:r>
              <w:rPr>
                <w:rFonts w:hint="eastAsia" w:ascii="宋体" w:hAnsi="宋体" w:cs="宋体"/>
                <w:szCs w:val="21"/>
                <w:lang w:val="en-US" w:eastAsia="zh-CN"/>
              </w:rPr>
              <w:t>评分</w:t>
            </w:r>
            <w:r>
              <w:rPr>
                <w:rFonts w:hint="eastAsia" w:ascii="宋体" w:hAnsi="宋体" w:cs="宋体"/>
                <w:szCs w:val="21"/>
              </w:rPr>
              <w:t>依据，未提供承诺或承诺内容不满足要求的不得分。</w:t>
            </w:r>
          </w:p>
        </w:tc>
      </w:tr>
      <w:tr w14:paraId="362D0F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60359EAD">
            <w:pPr>
              <w:spacing w:line="360" w:lineRule="auto"/>
              <w:jc w:val="center"/>
              <w:rPr>
                <w:rFonts w:ascii="宋体" w:hAnsi="宋体" w:cs="宋体"/>
                <w:b/>
                <w:bCs/>
                <w:color w:val="0000FF"/>
                <w:szCs w:val="21"/>
              </w:rPr>
            </w:pPr>
            <w:r>
              <w:rPr>
                <w:rFonts w:hint="eastAsia" w:ascii="宋体" w:hAnsi="宋体" w:cs="宋体"/>
                <w:b/>
                <w:bCs/>
                <w:color w:val="0000FF"/>
                <w:szCs w:val="21"/>
              </w:rPr>
              <w:t>4</w:t>
            </w:r>
          </w:p>
        </w:tc>
        <w:tc>
          <w:tcPr>
            <w:tcW w:w="4196" w:type="dxa"/>
            <w:gridSpan w:val="3"/>
            <w:tcBorders>
              <w:top w:val="single" w:color="000000" w:sz="8" w:space="0"/>
              <w:left w:val="single" w:color="000000" w:sz="8" w:space="0"/>
              <w:bottom w:val="single" w:color="000000" w:sz="8" w:space="0"/>
              <w:right w:val="single" w:color="000000" w:sz="8" w:space="0"/>
            </w:tcBorders>
          </w:tcPr>
          <w:p w14:paraId="540C3AC0">
            <w:pPr>
              <w:spacing w:line="360" w:lineRule="auto"/>
              <w:jc w:val="center"/>
              <w:rPr>
                <w:rFonts w:ascii="宋体" w:hAnsi="宋体" w:cs="宋体"/>
                <w:b/>
                <w:bCs/>
                <w:color w:val="0000FF"/>
                <w:szCs w:val="21"/>
              </w:rPr>
            </w:pPr>
            <w:r>
              <w:rPr>
                <w:rFonts w:hint="eastAsia" w:ascii="宋体" w:hAnsi="宋体" w:cs="宋体"/>
                <w:b/>
                <w:bCs/>
                <w:color w:val="0000FF"/>
                <w:szCs w:val="21"/>
              </w:rPr>
              <w:t>其他</w:t>
            </w:r>
          </w:p>
        </w:tc>
        <w:tc>
          <w:tcPr>
            <w:tcW w:w="4196" w:type="dxa"/>
            <w:tcBorders>
              <w:top w:val="single" w:color="000000" w:sz="8" w:space="0"/>
              <w:left w:val="single" w:color="000000" w:sz="8" w:space="0"/>
              <w:bottom w:val="single" w:color="000000" w:sz="8" w:space="0"/>
              <w:right w:val="single" w:color="000000" w:sz="8" w:space="0"/>
            </w:tcBorders>
          </w:tcPr>
          <w:p w14:paraId="1DAF1B22">
            <w:pPr>
              <w:spacing w:line="360" w:lineRule="auto"/>
              <w:jc w:val="center"/>
              <w:rPr>
                <w:rFonts w:ascii="宋体" w:hAnsi="宋体" w:cs="宋体"/>
                <w:b/>
                <w:bCs/>
                <w:color w:val="0000FF"/>
                <w:szCs w:val="21"/>
              </w:rPr>
            </w:pPr>
            <w:r>
              <w:rPr>
                <w:rFonts w:hint="eastAsia" w:ascii="宋体" w:hAnsi="宋体" w:cs="宋体"/>
                <w:b/>
                <w:bCs/>
                <w:color w:val="0000FF"/>
                <w:szCs w:val="21"/>
              </w:rPr>
              <w:t>5</w:t>
            </w:r>
          </w:p>
        </w:tc>
      </w:tr>
      <w:tr w14:paraId="1E94FB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28F81E29">
            <w:pPr>
              <w:spacing w:line="360" w:lineRule="auto"/>
              <w:rPr>
                <w:rFonts w:ascii="宋体" w:hAnsi="宋体" w:cs="宋体"/>
                <w:b/>
                <w:bCs/>
                <w:color w:val="0000FF"/>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C38B480">
            <w:pPr>
              <w:spacing w:line="360" w:lineRule="auto"/>
              <w:jc w:val="center"/>
              <w:rPr>
                <w:rFonts w:ascii="宋体" w:hAnsi="宋体" w:cs="宋体"/>
                <w:szCs w:val="21"/>
              </w:rPr>
            </w:pPr>
            <w:r>
              <w:rPr>
                <w:rFonts w:hint="eastAsia" w:ascii="宋体" w:hAnsi="宋体" w:cs="宋体"/>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D66BADA">
            <w:pPr>
              <w:spacing w:line="360" w:lineRule="auto"/>
              <w:jc w:val="center"/>
              <w:rPr>
                <w:rFonts w:ascii="宋体" w:hAnsi="宋体" w:cs="宋体"/>
                <w:szCs w:val="21"/>
              </w:rPr>
            </w:pPr>
            <w:r>
              <w:rPr>
                <w:rFonts w:hint="eastAsia" w:ascii="宋体" w:hAnsi="宋体" w:cs="宋体"/>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5AB9877">
            <w:pPr>
              <w:spacing w:line="360" w:lineRule="auto"/>
              <w:jc w:val="center"/>
              <w:rPr>
                <w:rFonts w:ascii="宋体" w:hAnsi="宋体" w:cs="宋体"/>
                <w:szCs w:val="21"/>
              </w:rPr>
            </w:pPr>
            <w:r>
              <w:rPr>
                <w:rFonts w:hint="eastAsia" w:ascii="宋体" w:hAnsi="宋体" w:cs="宋体"/>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14E620">
            <w:pPr>
              <w:spacing w:line="360" w:lineRule="auto"/>
              <w:jc w:val="center"/>
              <w:rPr>
                <w:rFonts w:ascii="宋体" w:hAnsi="宋体" w:cs="宋体"/>
                <w:szCs w:val="21"/>
              </w:rPr>
            </w:pPr>
            <w:r>
              <w:rPr>
                <w:rFonts w:hint="eastAsia" w:ascii="宋体" w:hAnsi="宋体" w:cs="宋体"/>
                <w:szCs w:val="21"/>
              </w:rPr>
              <w:t>评分准则</w:t>
            </w:r>
          </w:p>
        </w:tc>
      </w:tr>
      <w:tr w14:paraId="65DAC1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28" w:hRule="atLeast"/>
          <w:jc w:val="center"/>
        </w:trPr>
        <w:tc>
          <w:tcPr>
            <w:tcW w:w="0" w:type="auto"/>
            <w:vMerge w:val="continue"/>
            <w:tcBorders>
              <w:left w:val="single" w:color="000000" w:sz="8" w:space="0"/>
              <w:right w:val="single" w:color="000000" w:sz="8" w:space="0"/>
            </w:tcBorders>
            <w:vAlign w:val="center"/>
          </w:tcPr>
          <w:p w14:paraId="40E17ED3">
            <w:pPr>
              <w:spacing w:line="360" w:lineRule="auto"/>
              <w:rPr>
                <w:rFonts w:ascii="宋体" w:hAnsi="宋体" w:cs="宋体"/>
                <w:b/>
                <w:bCs/>
                <w:color w:val="0000FF"/>
                <w:szCs w:val="21"/>
              </w:rPr>
            </w:pPr>
          </w:p>
        </w:tc>
        <w:tc>
          <w:tcPr>
            <w:tcW w:w="680" w:type="dxa"/>
            <w:tcBorders>
              <w:top w:val="single" w:color="000000" w:sz="8" w:space="0"/>
              <w:left w:val="single" w:color="000000" w:sz="8" w:space="0"/>
              <w:right w:val="single" w:color="000000" w:sz="8" w:space="0"/>
            </w:tcBorders>
          </w:tcPr>
          <w:p w14:paraId="1864BDEB">
            <w:pPr>
              <w:spacing w:line="360" w:lineRule="auto"/>
              <w:jc w:val="center"/>
              <w:rPr>
                <w:rFonts w:ascii="宋体" w:hAnsi="宋体" w:cs="宋体"/>
                <w:szCs w:val="21"/>
              </w:rPr>
            </w:pPr>
            <w:r>
              <w:rPr>
                <w:rFonts w:hint="eastAsia" w:ascii="宋体" w:hAnsi="宋体" w:cs="宋体"/>
                <w:szCs w:val="21"/>
              </w:rPr>
              <w:t>1</w:t>
            </w:r>
          </w:p>
        </w:tc>
        <w:tc>
          <w:tcPr>
            <w:tcW w:w="2835" w:type="dxa"/>
            <w:tcBorders>
              <w:top w:val="single" w:color="000000" w:sz="8" w:space="0"/>
              <w:left w:val="single" w:color="000000" w:sz="8" w:space="0"/>
              <w:right w:val="single" w:color="000000" w:sz="8" w:space="0"/>
            </w:tcBorders>
          </w:tcPr>
          <w:p w14:paraId="76FE8136">
            <w:pPr>
              <w:spacing w:line="360" w:lineRule="auto"/>
              <w:rPr>
                <w:rFonts w:ascii="宋体" w:hAnsi="宋体" w:cs="宋体"/>
                <w:szCs w:val="21"/>
              </w:rPr>
            </w:pPr>
            <w:r>
              <w:rPr>
                <w:rFonts w:hint="eastAsia" w:ascii="宋体" w:hAnsi="宋体" w:cs="宋体"/>
                <w:szCs w:val="21"/>
              </w:rPr>
              <w:t>诚信评审</w:t>
            </w:r>
          </w:p>
        </w:tc>
        <w:tc>
          <w:tcPr>
            <w:tcW w:w="681" w:type="dxa"/>
            <w:tcBorders>
              <w:top w:val="single" w:color="000000" w:sz="8" w:space="0"/>
              <w:left w:val="single" w:color="000000" w:sz="8" w:space="0"/>
              <w:right w:val="single" w:color="000000" w:sz="8" w:space="0"/>
            </w:tcBorders>
          </w:tcPr>
          <w:p w14:paraId="0F4D5249">
            <w:pPr>
              <w:spacing w:line="360" w:lineRule="auto"/>
              <w:jc w:val="center"/>
              <w:rPr>
                <w:rFonts w:ascii="宋体" w:hAnsi="宋体" w:cs="宋体"/>
                <w:szCs w:val="21"/>
              </w:rPr>
            </w:pPr>
            <w:r>
              <w:rPr>
                <w:rFonts w:hint="eastAsia" w:ascii="宋体" w:hAnsi="宋体" w:cs="宋体"/>
                <w:szCs w:val="21"/>
              </w:rPr>
              <w:t>5</w:t>
            </w:r>
          </w:p>
        </w:tc>
        <w:tc>
          <w:tcPr>
            <w:tcW w:w="4196" w:type="dxa"/>
            <w:tcBorders>
              <w:top w:val="single" w:color="000000" w:sz="8" w:space="0"/>
              <w:left w:val="single" w:color="000000" w:sz="8" w:space="0"/>
              <w:right w:val="single" w:color="000000" w:sz="8" w:space="0"/>
            </w:tcBorders>
          </w:tcPr>
          <w:p w14:paraId="30E6357E">
            <w:pPr>
              <w:spacing w:line="360" w:lineRule="auto"/>
              <w:rPr>
                <w:rFonts w:ascii="宋体" w:hAnsi="宋体" w:cs="宋体"/>
                <w:szCs w:val="21"/>
              </w:rPr>
            </w:pPr>
            <w:r>
              <w:rPr>
                <w:rFonts w:hint="eastAsia" w:ascii="宋体" w:hAnsi="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100分。</w:t>
            </w:r>
          </w:p>
          <w:p w14:paraId="380F0C10">
            <w:pPr>
              <w:spacing w:line="360" w:lineRule="auto"/>
              <w:rPr>
                <w:rFonts w:ascii="宋体" w:hAnsi="宋体" w:cs="宋体"/>
                <w:szCs w:val="21"/>
              </w:rPr>
            </w:pPr>
            <w:r>
              <w:rPr>
                <w:rFonts w:hint="eastAsia" w:ascii="宋体" w:hAnsi="宋体" w:cs="宋体"/>
                <w:szCs w:val="21"/>
              </w:rPr>
              <w:t>（采购代理机构通过“信用中国”、“中国政府采购网”、“深圳市政府采购监管网”以及市、区财政部门认定的其他渠道查询供应商信用信息，投标人无需提供证明材料。）</w:t>
            </w:r>
          </w:p>
        </w:tc>
      </w:tr>
    </w:tbl>
    <w:p w14:paraId="6F1C5C20">
      <w:pPr>
        <w:widowControl/>
        <w:jc w:val="left"/>
        <w:rPr>
          <w:rFonts w:asciiTheme="minorEastAsia" w:hAnsiTheme="minorEastAsia" w:eastAsiaTheme="minorEastAsia"/>
          <w:b/>
          <w:bCs/>
          <w:kern w:val="44"/>
          <w:sz w:val="28"/>
          <w:szCs w:val="44"/>
        </w:rPr>
      </w:pPr>
      <w:r>
        <w:rPr>
          <w:rFonts w:asciiTheme="minorEastAsia" w:hAnsiTheme="minorEastAsia" w:eastAsiaTheme="minorEastAsia"/>
        </w:rPr>
        <w:br w:type="page"/>
      </w:r>
    </w:p>
    <w:p w14:paraId="599DFAFA">
      <w:pPr>
        <w:pStyle w:val="2"/>
        <w:spacing w:before="0" w:after="0"/>
        <w:rPr>
          <w:rFonts w:asciiTheme="minorEastAsia" w:hAnsiTheme="minorEastAsia" w:eastAsiaTheme="minorEastAsia"/>
        </w:rPr>
      </w:pPr>
      <w:r>
        <w:rPr>
          <w:rFonts w:hint="eastAsia" w:asciiTheme="minorEastAsia" w:hAnsiTheme="minorEastAsia" w:eastAsiaTheme="minorEastAsia"/>
        </w:rPr>
        <w:t>其它关键信息</w:t>
      </w:r>
    </w:p>
    <w:p w14:paraId="51208654">
      <w:pPr>
        <w:spacing w:line="360" w:lineRule="auto"/>
        <w:ind w:firstLine="413" w:firstLineChars="196"/>
        <w:rPr>
          <w:rFonts w:ascii="宋体" w:hAnsi="宋体"/>
          <w:szCs w:val="21"/>
        </w:rPr>
      </w:pPr>
      <w:r>
        <w:rPr>
          <w:rFonts w:hint="eastAsia" w:ascii="宋体" w:hAnsi="宋体"/>
          <w:b/>
          <w:szCs w:val="21"/>
        </w:rPr>
        <w:t>一</w:t>
      </w:r>
      <w:r>
        <w:rPr>
          <w:rFonts w:hint="eastAsia" w:asciiTheme="minorEastAsia" w:hAnsiTheme="minorEastAsia" w:eastAsiaTheme="minorEastAsia"/>
          <w:b/>
          <w:szCs w:val="21"/>
        </w:rPr>
        <w:t>、</w:t>
      </w:r>
      <w:r>
        <w:rPr>
          <w:rFonts w:hint="eastAsia"/>
          <w:b/>
          <w:szCs w:val="21"/>
        </w:rPr>
        <w:t>评标定标信息</w:t>
      </w:r>
    </w:p>
    <w:tbl>
      <w:tblPr>
        <w:tblStyle w:val="5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5"/>
      </w:tblGrid>
      <w:tr w14:paraId="395B7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727D752E">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是否评标定标分离</w:t>
            </w:r>
          </w:p>
        </w:tc>
        <w:tc>
          <w:tcPr>
            <w:tcW w:w="4265" w:type="dxa"/>
          </w:tcPr>
          <w:p w14:paraId="44E1CBE8">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非评定分离</w:t>
            </w:r>
          </w:p>
        </w:tc>
      </w:tr>
      <w:tr w14:paraId="1145E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0DFB9356">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定标方法</w:t>
            </w:r>
          </w:p>
        </w:tc>
        <w:tc>
          <w:tcPr>
            <w:tcW w:w="4265" w:type="dxa"/>
          </w:tcPr>
          <w:p w14:paraId="5021E9E1">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14:paraId="67A69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5B9C37AD">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评标方法</w:t>
            </w:r>
          </w:p>
        </w:tc>
        <w:tc>
          <w:tcPr>
            <w:tcW w:w="4265" w:type="dxa"/>
          </w:tcPr>
          <w:p w14:paraId="22450D45">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综合评分法</w:t>
            </w:r>
          </w:p>
        </w:tc>
      </w:tr>
      <w:tr w14:paraId="16C9A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7468203A">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中标供应商家数</w:t>
            </w:r>
          </w:p>
        </w:tc>
        <w:tc>
          <w:tcPr>
            <w:tcW w:w="4265" w:type="dxa"/>
          </w:tcPr>
          <w:p w14:paraId="54416210">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14:paraId="1668F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48E58690">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候选中标供应商家数</w:t>
            </w:r>
          </w:p>
        </w:tc>
        <w:tc>
          <w:tcPr>
            <w:tcW w:w="4265" w:type="dxa"/>
          </w:tcPr>
          <w:p w14:paraId="25375552">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3</w:t>
            </w:r>
          </w:p>
        </w:tc>
      </w:tr>
    </w:tbl>
    <w:p w14:paraId="41AF4EA8">
      <w:pPr>
        <w:spacing w:line="360" w:lineRule="auto"/>
        <w:ind w:firstLine="411" w:firstLineChars="196"/>
        <w:rPr>
          <w:rFonts w:ascii="宋体" w:hAnsi="宋体"/>
        </w:rPr>
      </w:pPr>
    </w:p>
    <w:p w14:paraId="342155B7">
      <w:pPr>
        <w:spacing w:line="360" w:lineRule="auto"/>
        <w:ind w:firstLine="413" w:firstLineChars="196"/>
        <w:rPr>
          <w:rFonts w:ascii="宋体" w:hAnsi="宋体"/>
          <w:b/>
          <w:szCs w:val="21"/>
        </w:rPr>
      </w:pPr>
      <w:r>
        <w:rPr>
          <w:rFonts w:hint="eastAsia" w:ascii="宋体" w:hAnsi="宋体"/>
          <w:b/>
          <w:szCs w:val="21"/>
        </w:rPr>
        <w:t>二</w:t>
      </w:r>
      <w:r>
        <w:rPr>
          <w:rFonts w:hint="eastAsia" w:asciiTheme="minorEastAsia" w:hAnsiTheme="minorEastAsia" w:eastAsiaTheme="minorEastAsia"/>
          <w:b/>
          <w:szCs w:val="21"/>
        </w:rPr>
        <w:t>、</w:t>
      </w:r>
      <w:r>
        <w:rPr>
          <w:rFonts w:hint="eastAsia" w:ascii="宋体" w:hAnsi="宋体"/>
          <w:b/>
          <w:szCs w:val="21"/>
        </w:rPr>
        <w:t>报价明显偏低的合理性说明</w:t>
      </w:r>
    </w:p>
    <w:p w14:paraId="6A93AAAC">
      <w:pPr>
        <w:spacing w:line="360" w:lineRule="auto"/>
        <w:ind w:firstLine="420" w:firstLineChars="200"/>
        <w:rPr>
          <w:rFonts w:ascii="宋体" w:hAnsi="宋体"/>
          <w:szCs w:val="21"/>
        </w:rPr>
      </w:pP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hAns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F86B7F9">
      <w:pPr>
        <w:spacing w:line="360" w:lineRule="auto"/>
        <w:ind w:firstLine="420" w:firstLineChars="200"/>
        <w:rPr>
          <w:rFonts w:ascii="宋体" w:hAnsi="宋体"/>
          <w:szCs w:val="21"/>
        </w:rPr>
      </w:pPr>
    </w:p>
    <w:p w14:paraId="62449C48">
      <w:pPr>
        <w:spacing w:line="360" w:lineRule="auto"/>
        <w:ind w:firstLine="422" w:firstLineChars="200"/>
        <w:rPr>
          <w:rFonts w:ascii="宋体" w:hAnsi="宋体"/>
          <w:b/>
          <w:szCs w:val="21"/>
        </w:rPr>
      </w:pPr>
      <w:r>
        <w:rPr>
          <w:rFonts w:hint="eastAsia" w:asciiTheme="minorEastAsia" w:hAnsiTheme="minorEastAsia" w:eastAsiaTheme="minorEastAsia"/>
          <w:b/>
          <w:szCs w:val="21"/>
        </w:rPr>
        <w:t>三、</w:t>
      </w:r>
      <w:r>
        <w:rPr>
          <w:rFonts w:hint="eastAsia" w:asciiTheme="minorEastAsia" w:hAnsiTheme="minorEastAsia" w:eastAsiaTheme="minorEastAsia"/>
          <w:b/>
          <w:bCs/>
        </w:rPr>
        <w:t>关于享受政府采购扶持政策的主体及价格扣除比例</w:t>
      </w:r>
    </w:p>
    <w:p w14:paraId="5B2678C5">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建筑业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41F8AB83">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48D43EA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0B157A0B">
      <w:pPr>
        <w:widowControl/>
        <w:spacing w:line="360" w:lineRule="auto"/>
        <w:ind w:firstLine="371" w:firstLineChars="177"/>
        <w:jc w:val="left"/>
        <w:rPr>
          <w:rFonts w:cs="仿宋" w:asciiTheme="minorEastAsia" w:hAnsiTheme="minorEastAsia" w:eastAsiaTheme="minorEastAsia"/>
          <w:szCs w:val="21"/>
        </w:rPr>
      </w:pPr>
      <w:r>
        <w:rPr>
          <w:rFonts w:hint="eastAsia" w:ascii="宋体"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BA614BF">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u w:val="single"/>
        </w:rPr>
        <w:t xml:space="preserve">  5  </w:t>
      </w:r>
      <w:r>
        <w:rPr>
          <w:rFonts w:hint="eastAsia" w:asciiTheme="minorEastAsia" w:hAnsiTheme="minorEastAsia" w:eastAsiaTheme="minorEastAsia"/>
          <w:b/>
        </w:rPr>
        <w:t>%（请在</w:t>
      </w:r>
      <w:r>
        <w:rPr>
          <w:rFonts w:asciiTheme="minorEastAsia" w:hAnsiTheme="minorEastAsia" w:eastAsiaTheme="minorEastAsia"/>
          <w:b/>
        </w:rPr>
        <w:t>3%</w:t>
      </w:r>
      <w:r>
        <w:rPr>
          <w:rFonts w:hint="eastAsia" w:asciiTheme="minorEastAsia" w:hAnsiTheme="minorEastAsia" w:eastAsiaTheme="minorEastAsia"/>
          <w:b/>
        </w:rPr>
        <w:t>-</w:t>
      </w:r>
      <w:r>
        <w:rPr>
          <w:rFonts w:asciiTheme="minorEastAsia" w:hAnsiTheme="minorEastAsia" w:eastAsiaTheme="minorEastAsia"/>
          <w:b/>
        </w:rPr>
        <w:t>5%</w:t>
      </w:r>
      <w:r>
        <w:rPr>
          <w:rFonts w:hint="eastAsia" w:asciiTheme="minorEastAsia" w:hAnsiTheme="minorEastAsia" w:eastAsiaTheme="minorEastAsia"/>
          <w:b/>
        </w:rPr>
        <w:t>范围内选择）</w:t>
      </w:r>
      <w:r>
        <w:rPr>
          <w:rFonts w:hint="eastAsia" w:asciiTheme="minorEastAsia" w:hAnsiTheme="minorEastAsia" w:eastAsiaTheme="minorEastAsia"/>
          <w:b/>
          <w:szCs w:val="22"/>
        </w:rPr>
        <w:t>后参与评审</w:t>
      </w:r>
      <w:r>
        <w:rPr>
          <w:rFonts w:hint="eastAsia" w:asciiTheme="minorEastAsia" w:hAnsiTheme="minorEastAsia" w:eastAsiaTheme="minorEastAsia"/>
          <w:szCs w:val="22"/>
        </w:rPr>
        <w:t>。</w:t>
      </w:r>
    </w:p>
    <w:p w14:paraId="1AA22B15">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w:t>
      </w:r>
      <w:r>
        <w:rPr>
          <w:rFonts w:hint="eastAsia" w:asciiTheme="minorEastAsia" w:hAnsiTheme="minorEastAsia" w:eastAsiaTheme="minorEastAsia"/>
          <w:b/>
        </w:rPr>
        <w:t>请在1</w:t>
      </w:r>
      <w:r>
        <w:rPr>
          <w:rFonts w:asciiTheme="minorEastAsia" w:hAnsiTheme="minorEastAsia" w:eastAsiaTheme="minorEastAsia"/>
          <w:b/>
        </w:rPr>
        <w:t>%-</w:t>
      </w: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b/>
          <w:szCs w:val="22"/>
        </w:rPr>
        <w:t>）</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64BB74FD">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w:t>
      </w:r>
      <w:r>
        <w:rPr>
          <w:rFonts w:hint="eastAsia" w:asciiTheme="minorEastAsia" w:hAnsiTheme="minorEastAsia" w:eastAsiaTheme="minorEastAsia"/>
          <w:b/>
        </w:rPr>
        <w:t>请在1</w:t>
      </w:r>
      <w:r>
        <w:rPr>
          <w:rFonts w:asciiTheme="minorEastAsia" w:hAnsiTheme="minorEastAsia" w:eastAsiaTheme="minorEastAsia"/>
          <w:b/>
        </w:rPr>
        <w:t>%-</w:t>
      </w: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b/>
          <w:szCs w:val="22"/>
        </w:rPr>
        <w:t>）</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DDEB604">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0745D4F">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w:t>
      </w:r>
      <w:r>
        <w:rPr>
          <w:rFonts w:hint="eastAsia" w:ascii="宋体" w:hAnsi="宋体" w:cs="宋体"/>
          <w:szCs w:val="21"/>
        </w:rPr>
        <w:t>格式详见招标文件第三章</w:t>
      </w:r>
      <w:r>
        <w:rPr>
          <w:rFonts w:hint="eastAsia" w:ascii="宋体" w:hAnsi="宋体"/>
          <w:szCs w:val="22"/>
        </w:rPr>
        <w:t>）；监狱企业或者代理提供监狱企业货物的供应商如需享受优惠政策，除上述资料外，还须提供省级以上监狱管理局、戒毒管理局出具的监狱企业证明文件。</w:t>
      </w:r>
    </w:p>
    <w:p w14:paraId="624C3010">
      <w:pPr>
        <w:spacing w:line="360" w:lineRule="auto"/>
        <w:rPr>
          <w:b/>
          <w:bCs/>
          <w:sz w:val="24"/>
        </w:rPr>
      </w:pPr>
    </w:p>
    <w:p w14:paraId="4365B05B">
      <w:pPr>
        <w:spacing w:line="360" w:lineRule="auto"/>
        <w:ind w:firstLine="422" w:firstLineChars="200"/>
        <w:rPr>
          <w:rFonts w:ascii="宋体" w:hAnsi="宋体"/>
          <w:b/>
          <w:szCs w:val="21"/>
        </w:rPr>
      </w:pPr>
      <w:r>
        <w:rPr>
          <w:rFonts w:hint="eastAsia" w:ascii="宋体" w:hAnsi="宋体"/>
          <w:b/>
          <w:szCs w:val="21"/>
        </w:rPr>
        <w:t>四、</w:t>
      </w:r>
      <w:r>
        <w:rPr>
          <w:rFonts w:hint="eastAsia"/>
          <w:b/>
        </w:rPr>
        <w:t>绿色采购</w:t>
      </w:r>
    </w:p>
    <w:p w14:paraId="7147CB05">
      <w:pPr>
        <w:spacing w:line="360" w:lineRule="auto"/>
        <w:ind w:firstLine="424" w:firstLineChars="202"/>
        <w:jc w:val="left"/>
        <w:rPr>
          <w:rFonts w:ascii="宋体" w:hAnsi="宋体"/>
          <w:szCs w:val="21"/>
        </w:rPr>
      </w:pPr>
      <w:r>
        <w:rPr>
          <w:rFonts w:hint="eastAsia" w:ascii="宋体" w:hAnsi="宋体"/>
        </w:rPr>
        <w:t>（1）投标产品属于《关于调整优化节能产品环境标志产品政府采购执行机制的通知》（财库〔2019〕9号）、《关于印发环境标志产品政府采购品目清单的通知》（财库〔2019〕18号）和《关于印发节能产品</w:t>
      </w:r>
      <w:r>
        <w:rPr>
          <w:rFonts w:hint="eastAsia" w:ascii="宋体" w:hAnsi="宋体"/>
          <w:szCs w:val="21"/>
        </w:rPr>
        <w:t>政府采购品目清单的通知》（财库〔2019〕19号）品目清单范围内的，</w:t>
      </w:r>
      <w:r>
        <w:rPr>
          <w:rFonts w:hint="eastAsia" w:ascii="宋体" w:hAnsi="宋体"/>
        </w:rPr>
        <w:t>应依据国家确定的认证机构出具的、处于有效期之内的节能产品、环境标志产品认证证书，对获得证书的产品实施政府优先采购或强制采购。</w:t>
      </w:r>
      <w:r>
        <w:rPr>
          <w:rFonts w:hint="eastAsia" w:ascii="宋体" w:hAnsi="宋体"/>
          <w:b/>
        </w:rPr>
        <w:t>对符合条件的获证产品</w:t>
      </w:r>
      <w:r>
        <w:rPr>
          <w:rFonts w:hint="eastAsia" w:ascii="宋体" w:hAnsi="宋体"/>
          <w:b/>
          <w:szCs w:val="21"/>
        </w:rPr>
        <w:t>，根据该投标产品报价给予</w:t>
      </w:r>
      <w:r>
        <w:rPr>
          <w:rFonts w:hint="eastAsia" w:ascii="宋体" w:hAnsi="宋体"/>
          <w:b/>
          <w:szCs w:val="21"/>
          <w:u w:val="single"/>
        </w:rPr>
        <w:t xml:space="preserve"> 1 </w:t>
      </w:r>
      <w:r>
        <w:rPr>
          <w:rFonts w:hint="eastAsia" w:ascii="宋体" w:hAnsi="宋体"/>
          <w:b/>
          <w:szCs w:val="21"/>
        </w:rPr>
        <w:t>%的价格扣除，用扣除后的价格参与评审</w:t>
      </w:r>
      <w:r>
        <w:rPr>
          <w:rFonts w:hint="eastAsia" w:ascii="宋体" w:hAnsi="宋体"/>
          <w:szCs w:val="21"/>
        </w:rPr>
        <w:t>（需按投标文件格式部分“列入政府优先采购清单的投标产品一览表”的要求提供证明材料，否则不予价格扣除）。</w:t>
      </w:r>
    </w:p>
    <w:p w14:paraId="2C9B9CEE">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宋体" w:hAnsi="宋体"/>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23C66669">
      <w:pPr>
        <w:spacing w:line="360" w:lineRule="auto"/>
        <w:rPr>
          <w:b/>
          <w:bCs/>
          <w:sz w:val="24"/>
        </w:rPr>
      </w:pPr>
    </w:p>
    <w:p w14:paraId="0DAA51B0">
      <w:pPr>
        <w:spacing w:line="360" w:lineRule="auto"/>
        <w:ind w:firstLine="422" w:firstLineChars="200"/>
        <w:rPr>
          <w:rFonts w:ascii="宋体" w:hAnsi="宋体"/>
          <w:b/>
          <w:szCs w:val="21"/>
        </w:rPr>
      </w:pPr>
      <w:r>
        <w:rPr>
          <w:rFonts w:hint="eastAsia" w:ascii="宋体" w:hAnsi="宋体"/>
          <w:b/>
          <w:szCs w:val="21"/>
        </w:rPr>
        <w:t>五、</w:t>
      </w:r>
      <w:r>
        <w:rPr>
          <w:rFonts w:hint="eastAsia"/>
          <w:b/>
        </w:rPr>
        <w:t>其他说明</w:t>
      </w:r>
    </w:p>
    <w:p w14:paraId="05F9D217">
      <w:pPr>
        <w:spacing w:line="360" w:lineRule="auto"/>
        <w:ind w:firstLine="420" w:firstLineChars="200"/>
        <w:rPr>
          <w:rFonts w:ascii="宋体" w:hAnsi="宋体"/>
          <w:szCs w:val="21"/>
        </w:rPr>
      </w:pPr>
      <w:r>
        <w:rPr>
          <w:rFonts w:hint="eastAsia" w:ascii="宋体" w:hAnsi="宋体"/>
        </w:rPr>
        <w:t>为缓解中小企业融资难题，深圳市推出政府采购订单融资改革举措。订单融资具体流程及试点金融机构订单融资服务承诺可参阅深圳市政府采购监管网（zfcg.sz.gov.cn）政府采购订单融资栏目。</w:t>
      </w:r>
    </w:p>
    <w:p w14:paraId="47DF470D">
      <w:pPr>
        <w:spacing w:line="360" w:lineRule="auto"/>
        <w:ind w:firstLine="420" w:firstLineChars="200"/>
        <w:rPr>
          <w:rFonts w:ascii="宋体" w:hAnsi="宋体"/>
        </w:rPr>
      </w:pPr>
    </w:p>
    <w:p w14:paraId="7DE909B0">
      <w:pPr>
        <w:spacing w:line="360" w:lineRule="auto"/>
        <w:ind w:firstLine="422" w:firstLineChars="200"/>
        <w:rPr>
          <w:rFonts w:ascii="宋体" w:hAnsi="宋体"/>
          <w:b/>
          <w:szCs w:val="21"/>
        </w:rPr>
      </w:pPr>
    </w:p>
    <w:p w14:paraId="166D6AFE"/>
    <w:p w14:paraId="4B7183E0">
      <w:pPr>
        <w:pStyle w:val="2"/>
      </w:pPr>
      <w:r>
        <w:rPr>
          <w:rFonts w:hint="eastAsia"/>
        </w:rPr>
        <w:t>目   录</w:t>
      </w:r>
    </w:p>
    <w:p w14:paraId="1F75BC80">
      <w:pPr>
        <w:rPr>
          <w:b/>
          <w:sz w:val="24"/>
        </w:rPr>
      </w:pPr>
      <w:r>
        <w:rPr>
          <w:rFonts w:hint="eastAsia"/>
          <w:b/>
          <w:sz w:val="24"/>
        </w:rPr>
        <w:t>第一册  专用条款</w:t>
      </w:r>
    </w:p>
    <w:p w14:paraId="1C9C7732">
      <w:pPr>
        <w:ind w:left="630" w:leftChars="300" w:firstLine="411" w:firstLineChars="196"/>
        <w:rPr>
          <w:rFonts w:ascii="宋体" w:hAnsi="宋体"/>
          <w:szCs w:val="21"/>
        </w:rPr>
      </w:pPr>
      <w:r>
        <w:rPr>
          <w:rFonts w:hint="eastAsia" w:ascii="宋体" w:hAnsi="宋体"/>
          <w:szCs w:val="21"/>
        </w:rPr>
        <w:t>关键信息</w:t>
      </w:r>
    </w:p>
    <w:p w14:paraId="238C5E26">
      <w:pPr>
        <w:ind w:left="630" w:leftChars="300" w:firstLine="411" w:firstLineChars="196"/>
        <w:rPr>
          <w:rFonts w:ascii="宋体" w:hAnsi="宋体"/>
          <w:szCs w:val="21"/>
        </w:rPr>
      </w:pPr>
      <w:r>
        <w:rPr>
          <w:rFonts w:hint="eastAsia" w:ascii="宋体" w:hAnsi="宋体"/>
          <w:szCs w:val="21"/>
        </w:rPr>
        <w:t>第一章  招标公告</w:t>
      </w:r>
    </w:p>
    <w:p w14:paraId="6393C924">
      <w:pPr>
        <w:ind w:left="630" w:leftChars="300" w:firstLine="411" w:firstLineChars="196"/>
        <w:rPr>
          <w:rFonts w:ascii="宋体" w:hAnsi="宋体"/>
          <w:szCs w:val="21"/>
        </w:rPr>
      </w:pPr>
      <w:r>
        <w:rPr>
          <w:rFonts w:hint="eastAsia" w:ascii="宋体" w:hAnsi="宋体"/>
          <w:szCs w:val="21"/>
        </w:rPr>
        <w:t>第二章  招标项目需求</w:t>
      </w:r>
    </w:p>
    <w:p w14:paraId="690DB6CB">
      <w:pPr>
        <w:ind w:left="630" w:leftChars="300" w:firstLine="411" w:firstLineChars="196"/>
        <w:rPr>
          <w:rFonts w:ascii="宋体" w:hAnsi="宋体"/>
          <w:szCs w:val="21"/>
        </w:rPr>
      </w:pPr>
      <w:r>
        <w:rPr>
          <w:rFonts w:hint="eastAsia" w:ascii="宋体" w:hAnsi="宋体"/>
          <w:szCs w:val="21"/>
        </w:rPr>
        <w:t>第三章  投标文件格式、附件</w:t>
      </w:r>
    </w:p>
    <w:p w14:paraId="6351AD24">
      <w:pPr>
        <w:ind w:left="630" w:leftChars="300" w:firstLine="411" w:firstLineChars="196"/>
        <w:rPr>
          <w:rFonts w:ascii="宋体" w:hAnsi="宋体"/>
          <w:szCs w:val="21"/>
        </w:rPr>
      </w:pPr>
      <w:r>
        <w:rPr>
          <w:rFonts w:hint="eastAsia" w:ascii="宋体" w:hAnsi="宋体"/>
          <w:szCs w:val="21"/>
        </w:rPr>
        <w:t>第四章  合同及履约情况反馈格式</w:t>
      </w:r>
    </w:p>
    <w:p w14:paraId="3B1A2BD9">
      <w:pPr>
        <w:ind w:left="630" w:leftChars="300" w:firstLine="411" w:firstLineChars="196"/>
        <w:rPr>
          <w:rFonts w:ascii="宋体" w:hAnsi="宋体"/>
          <w:szCs w:val="21"/>
        </w:rPr>
      </w:pPr>
      <w:r>
        <w:rPr>
          <w:rFonts w:hint="eastAsia" w:ascii="宋体" w:hAnsi="宋体"/>
          <w:szCs w:val="21"/>
        </w:rPr>
        <w:t>第五章  附件</w:t>
      </w:r>
    </w:p>
    <w:p w14:paraId="4358FBB0">
      <w:pPr>
        <w:ind w:left="630" w:leftChars="300" w:firstLine="411" w:firstLineChars="196"/>
        <w:rPr>
          <w:rFonts w:ascii="宋体" w:hAnsi="宋体"/>
          <w:szCs w:val="21"/>
        </w:rPr>
      </w:pPr>
    </w:p>
    <w:p w14:paraId="55E08571">
      <w:pPr>
        <w:rPr>
          <w:b/>
          <w:sz w:val="24"/>
        </w:rPr>
      </w:pPr>
    </w:p>
    <w:p w14:paraId="1F538DAD">
      <w:pPr>
        <w:rPr>
          <w:b/>
          <w:sz w:val="24"/>
        </w:rPr>
      </w:pPr>
      <w:r>
        <w:rPr>
          <w:rFonts w:hint="eastAsia"/>
          <w:b/>
          <w:sz w:val="24"/>
        </w:rPr>
        <w:t>第二册  通用条款</w:t>
      </w:r>
    </w:p>
    <w:p w14:paraId="3C415A46">
      <w:pPr>
        <w:ind w:left="630" w:leftChars="300" w:firstLine="411" w:firstLineChars="196"/>
        <w:rPr>
          <w:rFonts w:ascii="宋体" w:hAnsi="宋体"/>
          <w:szCs w:val="21"/>
        </w:rPr>
      </w:pPr>
      <w:r>
        <w:rPr>
          <w:rFonts w:hint="eastAsia" w:ascii="宋体" w:hAnsi="宋体"/>
          <w:szCs w:val="21"/>
        </w:rPr>
        <w:t>第一章  总则</w:t>
      </w:r>
    </w:p>
    <w:p w14:paraId="26D625AA">
      <w:pPr>
        <w:ind w:left="630" w:leftChars="300" w:firstLine="411" w:firstLineChars="196"/>
        <w:rPr>
          <w:rFonts w:ascii="宋体" w:hAnsi="宋体"/>
          <w:szCs w:val="21"/>
        </w:rPr>
      </w:pPr>
      <w:r>
        <w:rPr>
          <w:rFonts w:hint="eastAsia" w:ascii="宋体" w:hAnsi="宋体"/>
          <w:szCs w:val="21"/>
        </w:rPr>
        <w:t>第二章  招标文件</w:t>
      </w:r>
    </w:p>
    <w:p w14:paraId="4C8365F0">
      <w:pPr>
        <w:ind w:left="630" w:leftChars="300" w:firstLine="411" w:firstLineChars="196"/>
        <w:rPr>
          <w:rFonts w:ascii="宋体" w:hAnsi="宋体"/>
          <w:szCs w:val="21"/>
        </w:rPr>
      </w:pPr>
      <w:r>
        <w:rPr>
          <w:rFonts w:hint="eastAsia" w:ascii="宋体" w:hAnsi="宋体"/>
          <w:szCs w:val="21"/>
        </w:rPr>
        <w:t>第三章  投标文件的编制</w:t>
      </w:r>
    </w:p>
    <w:p w14:paraId="07BB6E7E">
      <w:pPr>
        <w:ind w:left="630" w:leftChars="300" w:firstLine="411" w:firstLineChars="196"/>
        <w:rPr>
          <w:rFonts w:ascii="宋体" w:hAnsi="宋体"/>
          <w:szCs w:val="21"/>
        </w:rPr>
      </w:pPr>
      <w:r>
        <w:rPr>
          <w:rFonts w:hint="eastAsia" w:ascii="宋体" w:hAnsi="宋体"/>
          <w:szCs w:val="21"/>
        </w:rPr>
        <w:t>第四章  投标文件的递交</w:t>
      </w:r>
    </w:p>
    <w:p w14:paraId="0B715E62">
      <w:pPr>
        <w:ind w:left="630" w:leftChars="300" w:firstLine="411" w:firstLineChars="196"/>
        <w:rPr>
          <w:rFonts w:ascii="宋体" w:hAnsi="宋体"/>
          <w:szCs w:val="21"/>
        </w:rPr>
      </w:pPr>
      <w:r>
        <w:rPr>
          <w:rFonts w:hint="eastAsia" w:ascii="宋体" w:hAnsi="宋体"/>
          <w:szCs w:val="21"/>
        </w:rPr>
        <w:t>第五章  开标</w:t>
      </w:r>
    </w:p>
    <w:p w14:paraId="79835934">
      <w:pPr>
        <w:ind w:left="630" w:leftChars="300" w:firstLine="411" w:firstLineChars="196"/>
        <w:rPr>
          <w:rFonts w:ascii="宋体" w:hAnsi="宋体"/>
          <w:szCs w:val="21"/>
        </w:rPr>
      </w:pPr>
      <w:r>
        <w:rPr>
          <w:rFonts w:hint="eastAsia" w:ascii="宋体" w:hAnsi="宋体"/>
          <w:szCs w:val="21"/>
        </w:rPr>
        <w:t>第六章  评标要求</w:t>
      </w:r>
    </w:p>
    <w:p w14:paraId="340331CC">
      <w:pPr>
        <w:ind w:left="630" w:leftChars="300" w:firstLine="411" w:firstLineChars="196"/>
        <w:rPr>
          <w:rFonts w:ascii="宋体" w:hAnsi="宋体"/>
          <w:szCs w:val="21"/>
        </w:rPr>
      </w:pPr>
      <w:r>
        <w:rPr>
          <w:rFonts w:hint="eastAsia" w:ascii="宋体" w:hAnsi="宋体"/>
          <w:szCs w:val="21"/>
        </w:rPr>
        <w:t>第七章  评标程序及评标方法</w:t>
      </w:r>
    </w:p>
    <w:p w14:paraId="678473F4">
      <w:pPr>
        <w:ind w:left="630" w:leftChars="300" w:firstLine="411" w:firstLineChars="196"/>
        <w:rPr>
          <w:rFonts w:ascii="宋体" w:hAnsi="宋体"/>
          <w:szCs w:val="21"/>
        </w:rPr>
      </w:pPr>
      <w:r>
        <w:rPr>
          <w:rFonts w:hint="eastAsia" w:ascii="宋体" w:hAnsi="宋体"/>
          <w:szCs w:val="21"/>
        </w:rPr>
        <w:t>第八章  定标及公示</w:t>
      </w:r>
    </w:p>
    <w:p w14:paraId="2FFE263F">
      <w:pPr>
        <w:ind w:left="630" w:leftChars="300" w:firstLine="411" w:firstLineChars="196"/>
        <w:rPr>
          <w:rFonts w:ascii="宋体" w:hAnsi="宋体"/>
          <w:szCs w:val="21"/>
        </w:rPr>
      </w:pPr>
      <w:r>
        <w:rPr>
          <w:rFonts w:hint="eastAsia" w:ascii="宋体" w:hAnsi="宋体"/>
          <w:szCs w:val="21"/>
        </w:rPr>
        <w:t>第九章  公开招标失败的后续处理</w:t>
      </w:r>
    </w:p>
    <w:p w14:paraId="22963783">
      <w:pPr>
        <w:ind w:left="630" w:leftChars="300" w:firstLine="411" w:firstLineChars="196"/>
        <w:rPr>
          <w:rFonts w:ascii="宋体" w:hAnsi="宋体"/>
          <w:szCs w:val="21"/>
        </w:rPr>
      </w:pPr>
      <w:r>
        <w:rPr>
          <w:rFonts w:hint="eastAsia" w:ascii="宋体" w:hAnsi="宋体"/>
          <w:szCs w:val="21"/>
        </w:rPr>
        <w:t>第十章  合同的授予与备案</w:t>
      </w:r>
    </w:p>
    <w:p w14:paraId="2E47E7D5">
      <w:pPr>
        <w:ind w:left="630" w:leftChars="300" w:firstLine="411" w:firstLineChars="196"/>
        <w:rPr>
          <w:rFonts w:ascii="宋体" w:hAnsi="宋体"/>
          <w:szCs w:val="21"/>
        </w:rPr>
      </w:pPr>
      <w:r>
        <w:rPr>
          <w:rFonts w:hint="eastAsia" w:ascii="宋体" w:hAnsi="宋体"/>
          <w:szCs w:val="21"/>
        </w:rPr>
        <w:t>第十一章  质疑处理</w:t>
      </w:r>
    </w:p>
    <w:p w14:paraId="36CDC4A0">
      <w:pPr>
        <w:rPr>
          <w:sz w:val="24"/>
        </w:rPr>
      </w:pPr>
    </w:p>
    <w:p w14:paraId="0C85BA1A">
      <w:pPr>
        <w:rPr>
          <w:b/>
        </w:rPr>
      </w:pPr>
      <w:r>
        <w:rPr>
          <w:rFonts w:hint="eastAsia"/>
          <w:b/>
        </w:rPr>
        <w:t>备注：</w:t>
      </w:r>
    </w:p>
    <w:p w14:paraId="63043739">
      <w:pPr>
        <w:spacing w:line="360" w:lineRule="auto"/>
        <w:ind w:firstLine="420" w:firstLineChars="200"/>
        <w:jc w:val="left"/>
        <w:rPr>
          <w:rFonts w:ascii="宋体" w:hAnsi="宋体"/>
          <w:szCs w:val="21"/>
        </w:rPr>
      </w:pPr>
      <w:r>
        <w:rPr>
          <w:rFonts w:hint="eastAsia" w:ascii="宋体" w:hAnsi="宋体"/>
          <w:szCs w:val="21"/>
        </w:rPr>
        <w:t>1.本招标文件分为第一册“专用条款”和第二册“通用条款”。</w:t>
      </w:r>
    </w:p>
    <w:p w14:paraId="19E387BB">
      <w:pPr>
        <w:spacing w:line="360" w:lineRule="auto"/>
        <w:ind w:firstLine="420" w:firstLineChars="200"/>
        <w:jc w:val="left"/>
        <w:rPr>
          <w:rFonts w:ascii="宋体" w:hAnsi="宋体"/>
          <w:szCs w:val="21"/>
        </w:rPr>
      </w:pPr>
      <w:r>
        <w:rPr>
          <w:rFonts w:hint="eastAsia" w:ascii="宋体" w:hAnsi="宋体"/>
          <w:szCs w:val="21"/>
        </w:rPr>
        <w:t>2.“专用条款”是对本次采购项目的具体要求，包含招标公告、招标项目需求、投标文件格式、合同及履约情况反馈格式等内容。</w:t>
      </w:r>
    </w:p>
    <w:p w14:paraId="2CEDF526">
      <w:pPr>
        <w:spacing w:line="360" w:lineRule="auto"/>
        <w:ind w:firstLine="420" w:firstLineChars="200"/>
        <w:jc w:val="left"/>
        <w:rPr>
          <w:rFonts w:ascii="宋体" w:hAnsi="宋体"/>
          <w:szCs w:val="21"/>
        </w:rPr>
      </w:pPr>
      <w:r>
        <w:rPr>
          <w:rFonts w:hint="eastAsia" w:ascii="宋体" w:hAnsi="宋体"/>
          <w:szCs w:val="21"/>
        </w:rPr>
        <w:t>3.“通用条款”是适用于政府采购项目的基础性条款，具有普遍性和通用性。</w:t>
      </w:r>
    </w:p>
    <w:p w14:paraId="7ADCC3A1">
      <w:pPr>
        <w:spacing w:line="360" w:lineRule="auto"/>
        <w:ind w:firstLine="420" w:firstLineChars="200"/>
        <w:jc w:val="left"/>
        <w:rPr>
          <w:rFonts w:ascii="宋体" w:hAnsi="宋体"/>
          <w:szCs w:val="21"/>
        </w:rPr>
      </w:pPr>
      <w:r>
        <w:rPr>
          <w:rFonts w:hint="eastAsia" w:ascii="宋体" w:hAnsi="宋体"/>
          <w:szCs w:val="21"/>
        </w:rPr>
        <w:t>4.当出现“专用条款”和“通用条款”表述不一致或有冲突时，以“专用条款”为准。</w:t>
      </w:r>
    </w:p>
    <w:p w14:paraId="62257194">
      <w:pPr>
        <w:rPr>
          <w:rFonts w:ascii="宋体" w:hAnsi="宋体"/>
          <w:szCs w:val="21"/>
        </w:rPr>
      </w:pPr>
    </w:p>
    <w:p w14:paraId="37515F58">
      <w:pPr>
        <w:widowControl/>
        <w:jc w:val="left"/>
        <w:rPr>
          <w:rFonts w:ascii="宋体" w:hAnsi="宋体" w:eastAsia="黑体"/>
          <w:b/>
          <w:bCs/>
          <w:kern w:val="44"/>
          <w:sz w:val="28"/>
          <w:szCs w:val="44"/>
        </w:rPr>
      </w:pPr>
      <w:r>
        <w:br w:type="page"/>
      </w:r>
    </w:p>
    <w:p w14:paraId="1C1884F4">
      <w:pPr>
        <w:pStyle w:val="2"/>
        <w:rPr>
          <w:sz w:val="24"/>
        </w:rPr>
      </w:pPr>
      <w:r>
        <w:rPr>
          <w:rFonts w:hint="eastAsia"/>
        </w:rPr>
        <w:t>第一册  专用条款</w:t>
      </w:r>
    </w:p>
    <w:p w14:paraId="7DDB5271">
      <w:pPr>
        <w:pStyle w:val="5"/>
        <w:spacing w:line="360" w:lineRule="exact"/>
      </w:pPr>
      <w:r>
        <w:rPr>
          <w:rFonts w:hint="eastAsia"/>
          <w:b/>
          <w:bCs/>
        </w:rPr>
        <w:t>第一章  招标公告</w:t>
      </w:r>
    </w:p>
    <w:p w14:paraId="7297403B">
      <w:pPr>
        <w:pStyle w:val="49"/>
        <w:widowControl/>
        <w:spacing w:line="360" w:lineRule="exact"/>
        <w:rPr>
          <w:rFonts w:ascii="宋体" w:hAnsi="宋体"/>
          <w:sz w:val="21"/>
        </w:rPr>
      </w:pPr>
      <w:bookmarkStart w:id="0" w:name="_Toc128884461"/>
      <w:r>
        <w:rPr>
          <w:rFonts w:ascii="宋体" w:hAnsi="宋体"/>
          <w:sz w:val="21"/>
        </w:rPr>
        <w:t>项目概况</w:t>
      </w:r>
      <w:r>
        <w:rPr>
          <w:rFonts w:hint="eastAsia" w:ascii="宋体" w:hAnsi="宋体"/>
          <w:sz w:val="21"/>
        </w:rPr>
        <w:t>:</w:t>
      </w:r>
    </w:p>
    <w:p w14:paraId="3181C56E">
      <w:pPr>
        <w:pStyle w:val="49"/>
        <w:widowControl/>
        <w:spacing w:line="360" w:lineRule="exact"/>
        <w:ind w:firstLine="424" w:firstLineChars="202"/>
        <w:rPr>
          <w:rFonts w:ascii="宋体" w:hAnsi="宋体"/>
          <w:sz w:val="21"/>
        </w:rPr>
      </w:pPr>
      <w:r>
        <w:rPr>
          <w:rFonts w:hint="eastAsia" w:asciiTheme="minorEastAsia" w:hAnsiTheme="minorEastAsia" w:eastAsiaTheme="minorEastAsia"/>
          <w:sz w:val="21"/>
        </w:rPr>
        <w:t>深圳市儿童医院视频监控系统改造及新增招标项目</w:t>
      </w:r>
      <w:r>
        <w:rPr>
          <w:rFonts w:ascii="宋体" w:hAnsi="宋体"/>
          <w:sz w:val="21"/>
        </w:rPr>
        <w:t xml:space="preserve">的潜在投标人应在（本公告附件中）获取招标文件，并于 </w:t>
      </w:r>
      <w:r>
        <w:rPr>
          <w:rFonts w:ascii="宋体" w:hAnsi="宋体"/>
          <w:b/>
          <w:sz w:val="21"/>
          <w:u w:val="single"/>
        </w:rPr>
        <w:t>2024年</w:t>
      </w:r>
      <w:r>
        <w:rPr>
          <w:rFonts w:hint="eastAsia" w:ascii="宋体" w:hAnsi="宋体"/>
          <w:b/>
          <w:sz w:val="21"/>
          <w:u w:val="single"/>
          <w:lang w:val="en-US" w:eastAsia="zh-CN"/>
        </w:rPr>
        <w:t>10</w:t>
      </w:r>
      <w:r>
        <w:rPr>
          <w:rFonts w:ascii="宋体" w:hAnsi="宋体"/>
          <w:b/>
          <w:sz w:val="21"/>
          <w:u w:val="single"/>
        </w:rPr>
        <w:t>月</w:t>
      </w:r>
      <w:r>
        <w:rPr>
          <w:rFonts w:hint="eastAsia" w:ascii="宋体" w:hAnsi="宋体"/>
          <w:b/>
          <w:sz w:val="21"/>
          <w:u w:val="single"/>
          <w:lang w:val="en-US" w:eastAsia="zh-CN"/>
        </w:rPr>
        <w:t>22</w:t>
      </w:r>
      <w:r>
        <w:rPr>
          <w:rFonts w:ascii="宋体" w:hAnsi="宋体"/>
          <w:b/>
          <w:sz w:val="21"/>
          <w:u w:val="single"/>
        </w:rPr>
        <w:t>日</w:t>
      </w:r>
      <w:r>
        <w:rPr>
          <w:rFonts w:hint="eastAsia" w:ascii="宋体" w:hAnsi="宋体"/>
          <w:b/>
          <w:sz w:val="21"/>
          <w:u w:val="single"/>
          <w:lang w:val="en-US" w:eastAsia="zh-CN"/>
        </w:rPr>
        <w:t>14</w:t>
      </w:r>
      <w:r>
        <w:rPr>
          <w:rFonts w:hint="eastAsia" w:ascii="宋体" w:hAnsi="宋体"/>
          <w:b/>
          <w:sz w:val="21"/>
          <w:u w:val="single"/>
        </w:rPr>
        <w:t>:00</w:t>
      </w:r>
      <w:r>
        <w:rPr>
          <w:rFonts w:ascii="宋体" w:hAnsi="宋体"/>
          <w:b/>
          <w:sz w:val="21"/>
          <w:u w:val="single"/>
        </w:rPr>
        <w:t>（北京时间）</w:t>
      </w:r>
      <w:r>
        <w:rPr>
          <w:rFonts w:ascii="宋体" w:hAnsi="宋体"/>
          <w:sz w:val="21"/>
        </w:rPr>
        <w:t xml:space="preserve">前递交投标文件。 </w:t>
      </w:r>
    </w:p>
    <w:p w14:paraId="111D1603">
      <w:pPr>
        <w:pStyle w:val="49"/>
        <w:widowControl/>
        <w:spacing w:line="360" w:lineRule="exact"/>
        <w:rPr>
          <w:rFonts w:ascii="宋体" w:hAnsi="宋体"/>
          <w:sz w:val="21"/>
        </w:rPr>
      </w:pPr>
    </w:p>
    <w:p w14:paraId="6AA6517F">
      <w:pPr>
        <w:pStyle w:val="49"/>
        <w:widowControl/>
        <w:spacing w:line="360" w:lineRule="exact"/>
        <w:rPr>
          <w:rFonts w:ascii="宋体" w:hAnsi="宋体"/>
          <w:sz w:val="21"/>
        </w:rPr>
      </w:pPr>
      <w:r>
        <w:rPr>
          <w:rFonts w:ascii="宋体" w:hAnsi="宋体"/>
          <w:sz w:val="21"/>
        </w:rPr>
        <w:t>一、项目基本情况</w:t>
      </w:r>
    </w:p>
    <w:p w14:paraId="24D009DE">
      <w:pPr>
        <w:pStyle w:val="49"/>
        <w:widowControl/>
        <w:spacing w:line="360" w:lineRule="exact"/>
        <w:ind w:firstLine="424" w:firstLineChars="202"/>
        <w:rPr>
          <w:rFonts w:hint="eastAsia" w:ascii="宋体" w:hAnsi="宋体" w:eastAsia="宋体"/>
          <w:sz w:val="21"/>
          <w:szCs w:val="21"/>
          <w:lang w:eastAsia="zh-CN"/>
        </w:rPr>
      </w:pPr>
      <w:r>
        <w:rPr>
          <w:rFonts w:ascii="宋体" w:hAnsi="宋体"/>
          <w:sz w:val="21"/>
          <w:szCs w:val="21"/>
        </w:rPr>
        <w:t>1</w:t>
      </w:r>
      <w:r>
        <w:rPr>
          <w:rFonts w:hint="eastAsia" w:ascii="宋体" w:hAnsi="宋体"/>
          <w:sz w:val="21"/>
          <w:szCs w:val="21"/>
        </w:rPr>
        <w:t>、</w:t>
      </w:r>
      <w:r>
        <w:rPr>
          <w:rFonts w:ascii="宋体" w:hAnsi="宋体"/>
          <w:sz w:val="21"/>
          <w:szCs w:val="21"/>
        </w:rPr>
        <w:t>项目编号：</w:t>
      </w:r>
      <w:r>
        <w:rPr>
          <w:rFonts w:hint="eastAsia" w:ascii="宋体" w:hAnsi="宋体"/>
          <w:sz w:val="21"/>
          <w:szCs w:val="21"/>
          <w:lang w:eastAsia="zh-CN"/>
        </w:rPr>
        <w:t>SZDL2024001874</w:t>
      </w:r>
    </w:p>
    <w:p w14:paraId="210A5764">
      <w:pPr>
        <w:pStyle w:val="49"/>
        <w:widowControl/>
        <w:spacing w:line="360" w:lineRule="exact"/>
        <w:ind w:firstLine="424" w:firstLineChars="202"/>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项目名称：</w:t>
      </w:r>
      <w:r>
        <w:rPr>
          <w:rFonts w:hint="eastAsia" w:ascii="宋体" w:hAnsi="宋体"/>
          <w:sz w:val="21"/>
          <w:szCs w:val="21"/>
        </w:rPr>
        <w:t>深圳市儿童医院视频监控系统改造及新增</w:t>
      </w:r>
    </w:p>
    <w:p w14:paraId="4C456BB3">
      <w:pPr>
        <w:pStyle w:val="49"/>
        <w:widowControl/>
        <w:spacing w:line="360" w:lineRule="exact"/>
        <w:ind w:firstLine="424" w:firstLineChars="202"/>
        <w:rPr>
          <w:rFonts w:ascii="宋体" w:hAnsi="宋体"/>
          <w:sz w:val="21"/>
          <w:szCs w:val="21"/>
        </w:rPr>
      </w:pPr>
      <w:r>
        <w:rPr>
          <w:rFonts w:ascii="宋体" w:hAnsi="宋体"/>
          <w:sz w:val="21"/>
          <w:szCs w:val="21"/>
        </w:rPr>
        <w:t>3</w:t>
      </w:r>
      <w:r>
        <w:rPr>
          <w:rFonts w:hint="eastAsia" w:ascii="宋体" w:hAnsi="宋体"/>
          <w:sz w:val="21"/>
          <w:szCs w:val="21"/>
        </w:rPr>
        <w:t>、</w:t>
      </w:r>
      <w:r>
        <w:rPr>
          <w:rFonts w:ascii="宋体" w:hAnsi="宋体"/>
          <w:sz w:val="21"/>
          <w:szCs w:val="21"/>
        </w:rPr>
        <w:t>预算金额：</w:t>
      </w:r>
      <w:r>
        <w:rPr>
          <w:rFonts w:hint="eastAsia" w:ascii="宋体" w:hAnsi="宋体"/>
          <w:sz w:val="21"/>
          <w:szCs w:val="21"/>
        </w:rPr>
        <w:t>人民币</w:t>
      </w:r>
      <w:r>
        <w:rPr>
          <w:rFonts w:hint="eastAsia" w:ascii="宋体" w:hAnsi="宋体"/>
          <w:sz w:val="21"/>
          <w:szCs w:val="21"/>
          <w:lang w:eastAsia="zh-CN"/>
        </w:rPr>
        <w:t>1,450,000.00</w:t>
      </w:r>
      <w:r>
        <w:rPr>
          <w:rFonts w:ascii="宋体" w:hAnsi="宋体"/>
          <w:sz w:val="21"/>
          <w:szCs w:val="21"/>
        </w:rPr>
        <w:t>元</w:t>
      </w:r>
    </w:p>
    <w:p w14:paraId="2CA891B0">
      <w:pPr>
        <w:pStyle w:val="49"/>
        <w:widowControl/>
        <w:spacing w:line="360" w:lineRule="exact"/>
        <w:ind w:firstLine="424" w:firstLineChars="202"/>
        <w:rPr>
          <w:rFonts w:ascii="宋体" w:hAnsi="宋体"/>
          <w:sz w:val="21"/>
          <w:szCs w:val="21"/>
        </w:rPr>
      </w:pPr>
      <w:r>
        <w:rPr>
          <w:rFonts w:ascii="宋体" w:hAnsi="宋体"/>
          <w:sz w:val="21"/>
          <w:szCs w:val="21"/>
        </w:rPr>
        <w:t>4</w:t>
      </w:r>
      <w:r>
        <w:rPr>
          <w:rFonts w:hint="eastAsia" w:ascii="宋体" w:hAnsi="宋体"/>
          <w:sz w:val="21"/>
          <w:szCs w:val="21"/>
        </w:rPr>
        <w:t>、</w:t>
      </w:r>
      <w:r>
        <w:rPr>
          <w:rFonts w:ascii="宋体" w:hAnsi="宋体"/>
          <w:sz w:val="21"/>
          <w:szCs w:val="21"/>
        </w:rPr>
        <w:t>最高限价：</w:t>
      </w:r>
      <w:r>
        <w:rPr>
          <w:rFonts w:hint="eastAsia" w:ascii="宋体" w:hAnsi="宋体"/>
          <w:sz w:val="21"/>
          <w:szCs w:val="21"/>
        </w:rPr>
        <w:t>人民币</w:t>
      </w:r>
      <w:r>
        <w:rPr>
          <w:rFonts w:hint="eastAsia" w:ascii="宋体" w:hAnsi="宋体"/>
          <w:sz w:val="21"/>
          <w:szCs w:val="21"/>
          <w:lang w:eastAsia="zh-CN"/>
        </w:rPr>
        <w:t>1,450,000.00</w:t>
      </w:r>
      <w:r>
        <w:rPr>
          <w:rFonts w:hint="eastAsia" w:ascii="宋体" w:hAnsi="宋体"/>
          <w:sz w:val="21"/>
          <w:szCs w:val="21"/>
        </w:rPr>
        <w:t>元</w:t>
      </w:r>
    </w:p>
    <w:p w14:paraId="212A3F44">
      <w:pPr>
        <w:pStyle w:val="49"/>
        <w:widowControl/>
        <w:spacing w:line="360" w:lineRule="exact"/>
        <w:ind w:firstLine="424" w:firstLineChars="202"/>
        <w:rPr>
          <w:rFonts w:ascii="宋体" w:hAnsi="宋体"/>
          <w:sz w:val="21"/>
          <w:szCs w:val="21"/>
        </w:rPr>
      </w:pPr>
      <w:r>
        <w:rPr>
          <w:rFonts w:ascii="宋体" w:hAnsi="宋体"/>
          <w:sz w:val="21"/>
          <w:szCs w:val="21"/>
        </w:rPr>
        <w:t>5</w:t>
      </w:r>
      <w:r>
        <w:rPr>
          <w:rFonts w:hint="eastAsia" w:ascii="宋体" w:hAnsi="宋体"/>
          <w:sz w:val="21"/>
          <w:szCs w:val="21"/>
        </w:rPr>
        <w:t>、</w:t>
      </w:r>
      <w:r>
        <w:rPr>
          <w:rFonts w:ascii="宋体" w:hAnsi="宋体"/>
          <w:sz w:val="21"/>
          <w:szCs w:val="21"/>
        </w:rPr>
        <w:t>采购需求：</w:t>
      </w:r>
    </w:p>
    <w:tbl>
      <w:tblPr>
        <w:tblStyle w:val="55"/>
        <w:tblW w:w="8505" w:type="dxa"/>
        <w:tblInd w:w="6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3261"/>
        <w:gridCol w:w="850"/>
        <w:gridCol w:w="992"/>
        <w:gridCol w:w="2552"/>
        <w:gridCol w:w="850"/>
      </w:tblGrid>
      <w:tr w14:paraId="58826B2D">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0736EF2C">
            <w:pPr>
              <w:widowControl/>
              <w:spacing w:line="360" w:lineRule="exact"/>
              <w:jc w:val="center"/>
              <w:rPr>
                <w:rFonts w:ascii="宋体" w:hAnsi="宋体" w:cs="宋体"/>
                <w:szCs w:val="21"/>
              </w:rPr>
            </w:pPr>
            <w:r>
              <w:rPr>
                <w:rFonts w:hint="eastAsia" w:ascii="宋体" w:hAnsi="宋体" w:cs="宋体"/>
                <w:szCs w:val="21"/>
              </w:rPr>
              <w:t>标的名称</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6560528F">
            <w:pPr>
              <w:widowControl/>
              <w:spacing w:line="360" w:lineRule="exact"/>
              <w:jc w:val="center"/>
              <w:rPr>
                <w:rFonts w:ascii="宋体" w:hAnsi="宋体" w:cs="宋体"/>
                <w:szCs w:val="21"/>
              </w:rPr>
            </w:pPr>
            <w:r>
              <w:rPr>
                <w:rFonts w:hint="eastAsia" w:ascii="宋体" w:hAnsi="宋体" w:cs="宋体"/>
                <w:szCs w:val="21"/>
              </w:rPr>
              <w:t>数量</w:t>
            </w:r>
          </w:p>
        </w:tc>
        <w:tc>
          <w:tcPr>
            <w:tcW w:w="99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32C0F6F9">
            <w:pPr>
              <w:widowControl/>
              <w:spacing w:line="360" w:lineRule="exact"/>
              <w:jc w:val="center"/>
              <w:rPr>
                <w:rFonts w:ascii="宋体" w:hAnsi="宋体" w:cs="宋体"/>
                <w:szCs w:val="21"/>
              </w:rPr>
            </w:pPr>
            <w:r>
              <w:rPr>
                <w:rFonts w:hint="eastAsia" w:ascii="宋体" w:hAnsi="宋体" w:cs="宋体"/>
                <w:szCs w:val="21"/>
              </w:rPr>
              <w:t>单位</w:t>
            </w:r>
          </w:p>
        </w:tc>
        <w:tc>
          <w:tcPr>
            <w:tcW w:w="255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1C8D0DE1">
            <w:pPr>
              <w:widowControl/>
              <w:spacing w:line="360" w:lineRule="exact"/>
              <w:jc w:val="center"/>
              <w:rPr>
                <w:rFonts w:ascii="宋体" w:hAnsi="宋体" w:cs="宋体"/>
                <w:szCs w:val="21"/>
              </w:rPr>
            </w:pPr>
            <w:r>
              <w:rPr>
                <w:rFonts w:hint="eastAsia" w:ascii="宋体" w:hAnsi="宋体" w:cs="宋体"/>
                <w:szCs w:val="21"/>
              </w:rPr>
              <w:t>简要技术需求或服务要求</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6723E009">
            <w:pPr>
              <w:widowControl/>
              <w:spacing w:line="360" w:lineRule="exact"/>
              <w:jc w:val="center"/>
              <w:rPr>
                <w:rFonts w:ascii="宋体" w:hAnsi="宋体" w:cs="宋体"/>
                <w:szCs w:val="21"/>
              </w:rPr>
            </w:pPr>
            <w:r>
              <w:rPr>
                <w:rFonts w:hint="eastAsia" w:ascii="宋体" w:hAnsi="宋体" w:cs="宋体"/>
                <w:szCs w:val="21"/>
              </w:rPr>
              <w:t>备注</w:t>
            </w:r>
          </w:p>
        </w:tc>
      </w:tr>
      <w:tr w14:paraId="1B5BDCFB">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uto"/>
            <w:vAlign w:val="center"/>
          </w:tcPr>
          <w:p w14:paraId="0D7117DA">
            <w:pPr>
              <w:widowControl/>
              <w:spacing w:line="360" w:lineRule="exact"/>
              <w:jc w:val="center"/>
              <w:rPr>
                <w:rFonts w:ascii="宋体" w:hAnsi="宋体" w:cs="宋体"/>
                <w:szCs w:val="21"/>
              </w:rPr>
            </w:pPr>
            <w:r>
              <w:rPr>
                <w:rFonts w:hint="eastAsia" w:ascii="宋体" w:hAnsi="宋体" w:cs="宋体"/>
                <w:szCs w:val="21"/>
              </w:rPr>
              <w:t>深圳市儿童医院视频监控系统改造及新增</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3852F937">
            <w:pPr>
              <w:spacing w:line="360" w:lineRule="exact"/>
              <w:jc w:val="center"/>
              <w:rPr>
                <w:rFonts w:ascii="宋体" w:hAnsi="宋体" w:cs="宋体"/>
                <w:szCs w:val="21"/>
              </w:rPr>
            </w:pPr>
            <w:r>
              <w:rPr>
                <w:rFonts w:hint="eastAsia" w:ascii="宋体" w:hAnsi="宋体" w:cs="宋体"/>
                <w:szCs w:val="21"/>
              </w:rPr>
              <w:t>1</w:t>
            </w:r>
          </w:p>
        </w:tc>
        <w:tc>
          <w:tcPr>
            <w:tcW w:w="99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79AF8250">
            <w:pPr>
              <w:spacing w:line="360" w:lineRule="exact"/>
              <w:jc w:val="center"/>
              <w:rPr>
                <w:rFonts w:ascii="宋体" w:hAnsi="宋体" w:cs="宋体"/>
                <w:szCs w:val="21"/>
              </w:rPr>
            </w:pPr>
            <w:r>
              <w:rPr>
                <w:rFonts w:hint="eastAsia" w:ascii="宋体" w:hAnsi="宋体" w:cs="宋体"/>
                <w:szCs w:val="21"/>
              </w:rPr>
              <w:t>项</w:t>
            </w:r>
          </w:p>
        </w:tc>
        <w:tc>
          <w:tcPr>
            <w:tcW w:w="255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0E2089FE">
            <w:pPr>
              <w:spacing w:line="360" w:lineRule="exact"/>
              <w:jc w:val="center"/>
              <w:rPr>
                <w:rFonts w:ascii="宋体" w:hAnsi="宋体" w:cs="宋体"/>
                <w:szCs w:val="21"/>
              </w:rPr>
            </w:pPr>
            <w:r>
              <w:rPr>
                <w:rFonts w:hint="eastAsia" w:ascii="宋体" w:hAnsi="宋体" w:cs="宋体"/>
                <w:szCs w:val="21"/>
              </w:rPr>
              <w:t>详见招标文件</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0215E92D">
            <w:pPr>
              <w:widowControl/>
              <w:spacing w:line="360" w:lineRule="exact"/>
              <w:jc w:val="center"/>
              <w:rPr>
                <w:rFonts w:ascii="宋体" w:hAnsi="宋体" w:cs="宋体"/>
                <w:szCs w:val="21"/>
              </w:rPr>
            </w:pPr>
            <w:r>
              <w:rPr>
                <w:rFonts w:hint="eastAsia" w:ascii="宋体" w:hAnsi="宋体" w:cs="宋体"/>
                <w:szCs w:val="21"/>
              </w:rPr>
              <w:t>无</w:t>
            </w:r>
          </w:p>
        </w:tc>
      </w:tr>
    </w:tbl>
    <w:p w14:paraId="2D241B66">
      <w:pPr>
        <w:pStyle w:val="49"/>
        <w:widowControl/>
        <w:spacing w:line="360" w:lineRule="exact"/>
        <w:ind w:firstLine="424" w:firstLineChars="202"/>
        <w:rPr>
          <w:rFonts w:ascii="宋体" w:hAnsi="宋体"/>
          <w:sz w:val="21"/>
          <w:szCs w:val="21"/>
        </w:rPr>
      </w:pPr>
      <w:r>
        <w:rPr>
          <w:rFonts w:ascii="宋体" w:hAnsi="宋体"/>
          <w:sz w:val="21"/>
          <w:szCs w:val="21"/>
        </w:rPr>
        <w:t>6</w:t>
      </w:r>
      <w:r>
        <w:rPr>
          <w:rFonts w:hint="eastAsia" w:ascii="宋体" w:hAnsi="宋体"/>
          <w:sz w:val="21"/>
          <w:szCs w:val="21"/>
        </w:rPr>
        <w:t>、</w:t>
      </w:r>
      <w:r>
        <w:rPr>
          <w:rFonts w:ascii="宋体" w:hAnsi="宋体"/>
          <w:sz w:val="21"/>
          <w:szCs w:val="21"/>
        </w:rPr>
        <w:t>合同履行期限：</w:t>
      </w:r>
      <w:r>
        <w:rPr>
          <w:rFonts w:hint="eastAsia" w:asciiTheme="minorEastAsia" w:hAnsiTheme="minorEastAsia" w:eastAsiaTheme="minorEastAsia"/>
          <w:sz w:val="21"/>
          <w:szCs w:val="21"/>
        </w:rPr>
        <w:t>详见招标文件</w:t>
      </w:r>
    </w:p>
    <w:p w14:paraId="6148A390">
      <w:pPr>
        <w:pStyle w:val="49"/>
        <w:widowControl/>
        <w:spacing w:line="360" w:lineRule="exact"/>
        <w:ind w:firstLine="424" w:firstLineChars="202"/>
        <w:rPr>
          <w:rFonts w:ascii="宋体" w:hAnsi="宋体"/>
          <w:sz w:val="21"/>
          <w:szCs w:val="21"/>
        </w:rPr>
      </w:pPr>
      <w:r>
        <w:rPr>
          <w:rFonts w:ascii="宋体" w:hAnsi="宋体"/>
          <w:sz w:val="21"/>
          <w:szCs w:val="21"/>
        </w:rPr>
        <w:t>7</w:t>
      </w:r>
      <w:r>
        <w:rPr>
          <w:rFonts w:hint="eastAsia" w:ascii="宋体" w:hAnsi="宋体"/>
          <w:sz w:val="21"/>
          <w:szCs w:val="21"/>
        </w:rPr>
        <w:t>、本项目（是/否）接受联合体投标：详见“申请人的资格要求”</w:t>
      </w:r>
    </w:p>
    <w:p w14:paraId="2FAB928C">
      <w:pPr>
        <w:pStyle w:val="49"/>
        <w:spacing w:line="360" w:lineRule="exact"/>
        <w:rPr>
          <w:rFonts w:asciiTheme="minorEastAsia" w:hAnsiTheme="minorEastAsia" w:eastAsiaTheme="minorEastAsia"/>
          <w:sz w:val="21"/>
          <w:szCs w:val="21"/>
        </w:rPr>
      </w:pPr>
    </w:p>
    <w:p w14:paraId="23F72157">
      <w:pPr>
        <w:pStyle w:val="49"/>
        <w:spacing w:line="360" w:lineRule="exact"/>
        <w:rPr>
          <w:rFonts w:asciiTheme="minorEastAsia" w:hAnsiTheme="minorEastAsia" w:eastAsiaTheme="minorEastAsia"/>
          <w:sz w:val="21"/>
        </w:rPr>
      </w:pPr>
      <w:r>
        <w:rPr>
          <w:rFonts w:asciiTheme="minorEastAsia" w:hAnsiTheme="minorEastAsia" w:eastAsiaTheme="minorEastAsia"/>
          <w:sz w:val="21"/>
        </w:rPr>
        <w:t>二、申请人的资格要求：</w:t>
      </w:r>
    </w:p>
    <w:p w14:paraId="4695C305">
      <w:pPr>
        <w:pStyle w:val="49"/>
        <w:spacing w:line="360" w:lineRule="exact"/>
        <w:ind w:firstLine="424" w:firstLineChars="202"/>
        <w:rPr>
          <w:rFonts w:asciiTheme="minorEastAsia" w:hAnsiTheme="minorEastAsia" w:eastAsiaTheme="minorEastAsia"/>
          <w:sz w:val="21"/>
        </w:rPr>
      </w:pPr>
      <w:r>
        <w:rPr>
          <w:rFonts w:asciiTheme="minorEastAsia" w:hAnsiTheme="minorEastAsia" w:eastAsiaTheme="minorEastAsia"/>
          <w:sz w:val="21"/>
        </w:rPr>
        <w:t>1</w:t>
      </w:r>
      <w:r>
        <w:rPr>
          <w:rFonts w:hint="eastAsia" w:asciiTheme="minorEastAsia" w:hAnsiTheme="minorEastAsia" w:eastAsiaTheme="minorEastAsia"/>
          <w:sz w:val="21"/>
        </w:rPr>
        <w:t>、</w:t>
      </w:r>
      <w:r>
        <w:rPr>
          <w:rFonts w:asciiTheme="minorEastAsia" w:hAnsiTheme="minorEastAsia" w:eastAsiaTheme="minorEastAsia"/>
          <w:sz w:val="21"/>
        </w:rPr>
        <w:t>满足《中华人民共和国政府采购法》第二十二条规定</w:t>
      </w:r>
      <w:r>
        <w:rPr>
          <w:rFonts w:hint="eastAsia" w:asciiTheme="minorEastAsia" w:hAnsiTheme="minorEastAsia" w:eastAsiaTheme="minorEastAsia"/>
          <w:snapToGrid w:val="0"/>
          <w:sz w:val="21"/>
        </w:rPr>
        <w:t>（须提供具有独立承担民事责任能力的法人或其他组织的营业执照或法人证书等证明材料扫描件以及《</w:t>
      </w:r>
      <w:r>
        <w:rPr>
          <w:rFonts w:hint="eastAsia" w:asciiTheme="minorEastAsia" w:hAnsiTheme="minorEastAsia" w:eastAsiaTheme="minorEastAsia"/>
          <w:sz w:val="21"/>
        </w:rPr>
        <w:t>政府采购投标及履约承诺函</w:t>
      </w:r>
      <w:r>
        <w:rPr>
          <w:rFonts w:hint="eastAsia" w:asciiTheme="minorEastAsia" w:hAnsiTheme="minorEastAsia" w:eastAsiaTheme="minorEastAsia"/>
          <w:snapToGrid w:val="0"/>
          <w:sz w:val="21"/>
        </w:rPr>
        <w:t>》）。如果是分支机构参与投标，还须同时提供其具有独立法人资格的上级主体出具的</w:t>
      </w:r>
      <w:r>
        <w:rPr>
          <w:rFonts w:hint="eastAsia" w:ascii="宋体" w:hAnsi="宋体"/>
          <w:snapToGrid w:val="0"/>
          <w:sz w:val="21"/>
        </w:rPr>
        <w:t>有效授权书及</w:t>
      </w:r>
      <w:r>
        <w:rPr>
          <w:rFonts w:hint="eastAsia" w:asciiTheme="minorEastAsia" w:hAnsiTheme="minorEastAsia" w:eastAsiaTheme="minorEastAsia"/>
          <w:snapToGrid w:val="0"/>
          <w:sz w:val="21"/>
        </w:rPr>
        <w:t>上级主体的</w:t>
      </w:r>
      <w:r>
        <w:rPr>
          <w:rFonts w:hint="eastAsia" w:ascii="宋体" w:hAnsi="宋体"/>
          <w:snapToGrid w:val="0"/>
          <w:sz w:val="21"/>
        </w:rPr>
        <w:t>营业执照或法人证书等证明材料扫描件</w:t>
      </w:r>
      <w:r>
        <w:rPr>
          <w:rFonts w:hint="eastAsia" w:asciiTheme="minorEastAsia" w:hAnsiTheme="minorEastAsia" w:eastAsiaTheme="minorEastAsia"/>
          <w:snapToGrid w:val="0"/>
          <w:sz w:val="21"/>
        </w:rPr>
        <w:t>；</w:t>
      </w:r>
      <w:r>
        <w:rPr>
          <w:rFonts w:hint="eastAsia" w:ascii="宋体" w:hAnsi="宋体"/>
          <w:snapToGrid w:val="0"/>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z w:val="21"/>
        </w:rPr>
        <w:t>。</w:t>
      </w:r>
    </w:p>
    <w:p w14:paraId="7A53D9C3">
      <w:pPr>
        <w:pStyle w:val="49"/>
        <w:spacing w:line="360" w:lineRule="exact"/>
        <w:ind w:firstLine="424" w:firstLineChars="202"/>
        <w:rPr>
          <w:rFonts w:asciiTheme="minorEastAsia" w:hAnsiTheme="minorEastAsia" w:eastAsiaTheme="minorEastAsia"/>
          <w:sz w:val="21"/>
        </w:rPr>
      </w:pPr>
      <w:r>
        <w:rPr>
          <w:rFonts w:asciiTheme="minorEastAsia" w:hAnsiTheme="minorEastAsia" w:eastAsiaTheme="minorEastAsia"/>
          <w:sz w:val="21"/>
        </w:rPr>
        <w:t>2</w:t>
      </w:r>
      <w:r>
        <w:rPr>
          <w:rFonts w:hint="eastAsia" w:asciiTheme="minorEastAsia" w:hAnsiTheme="minorEastAsia" w:eastAsiaTheme="minorEastAsia"/>
          <w:sz w:val="21"/>
        </w:rPr>
        <w:t>、</w:t>
      </w:r>
      <w:r>
        <w:rPr>
          <w:rFonts w:asciiTheme="minorEastAsia" w:hAnsiTheme="minorEastAsia" w:eastAsiaTheme="minorEastAsia"/>
          <w:sz w:val="21"/>
        </w:rPr>
        <w:t>落实政府采购政策需满足的资格要求：</w:t>
      </w:r>
      <w:r>
        <w:rPr>
          <w:rFonts w:hint="eastAsia" w:asciiTheme="minorEastAsia" w:hAnsiTheme="minorEastAsia" w:eastAsiaTheme="minorEastAsia"/>
          <w:sz w:val="21"/>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21F236B5">
      <w:pPr>
        <w:pStyle w:val="49"/>
        <w:spacing w:line="360" w:lineRule="exact"/>
        <w:ind w:firstLine="424" w:firstLineChars="202"/>
        <w:rPr>
          <w:rFonts w:asciiTheme="minorEastAsia" w:hAnsiTheme="minorEastAsia" w:eastAsiaTheme="minorEastAsia"/>
          <w:sz w:val="21"/>
        </w:rPr>
      </w:pPr>
      <w:r>
        <w:rPr>
          <w:rFonts w:asciiTheme="minorEastAsia" w:hAnsiTheme="minorEastAsia" w:eastAsiaTheme="minorEastAsia"/>
          <w:sz w:val="21"/>
        </w:rPr>
        <w:t>3</w:t>
      </w:r>
      <w:r>
        <w:rPr>
          <w:rFonts w:hint="eastAsia" w:asciiTheme="minorEastAsia" w:hAnsiTheme="minorEastAsia" w:eastAsiaTheme="minorEastAsia"/>
          <w:sz w:val="21"/>
        </w:rPr>
        <w:t>、</w:t>
      </w:r>
      <w:r>
        <w:rPr>
          <w:rFonts w:asciiTheme="minorEastAsia" w:hAnsiTheme="minorEastAsia" w:eastAsiaTheme="minorEastAsia"/>
          <w:sz w:val="21"/>
        </w:rPr>
        <w:t>本项目的特定资格要求：</w:t>
      </w:r>
    </w:p>
    <w:p w14:paraId="745E69D3">
      <w:pPr>
        <w:pStyle w:val="49"/>
        <w:spacing w:line="360" w:lineRule="exact"/>
        <w:ind w:firstLine="424" w:firstLineChars="202"/>
        <w:rPr>
          <w:rFonts w:asciiTheme="minorEastAsia" w:hAnsiTheme="minorEastAsia" w:eastAsiaTheme="minorEastAsia"/>
          <w:sz w:val="21"/>
        </w:rPr>
      </w:pPr>
      <w:r>
        <w:rPr>
          <w:rFonts w:hint="eastAsia" w:asciiTheme="minorEastAsia" w:hAnsiTheme="minorEastAsia" w:eastAsiaTheme="minorEastAsia"/>
          <w:sz w:val="21"/>
        </w:rPr>
        <w:t>（1）</w:t>
      </w:r>
      <w:r>
        <w:rPr>
          <w:rFonts w:hint="eastAsia" w:asciiTheme="minorEastAsia" w:hAnsiTheme="minorEastAsia" w:eastAsiaTheme="minorEastAsia"/>
          <w:snapToGrid w:val="0"/>
          <w:sz w:val="21"/>
        </w:rPr>
        <w:t>参与本项目采购活动前三年内，在经营活动中没有重大违法记录</w:t>
      </w:r>
      <w:r>
        <w:rPr>
          <w:rFonts w:hint="eastAsia" w:asciiTheme="minorEastAsia" w:hAnsiTheme="minorEastAsia" w:eastAsiaTheme="minorEastAsia"/>
          <w:sz w:val="21"/>
        </w:rPr>
        <w:t>（须按本项目投标文件格式要求提供《政府采购投标及履约承诺函》）；</w:t>
      </w:r>
    </w:p>
    <w:p w14:paraId="02249A15">
      <w:pPr>
        <w:pStyle w:val="49"/>
        <w:spacing w:line="360" w:lineRule="exact"/>
        <w:ind w:firstLine="424" w:firstLineChars="202"/>
        <w:rPr>
          <w:rFonts w:asciiTheme="minorEastAsia" w:hAnsiTheme="minorEastAsia" w:eastAsiaTheme="minorEastAsia"/>
          <w:sz w:val="21"/>
        </w:rPr>
      </w:pPr>
      <w:r>
        <w:rPr>
          <w:rFonts w:hint="eastAsia" w:asciiTheme="minorEastAsia" w:hAnsiTheme="minorEastAsia" w:eastAsiaTheme="minorEastAsia"/>
          <w:sz w:val="21"/>
        </w:rPr>
        <w:t>（2）</w:t>
      </w:r>
      <w:r>
        <w:rPr>
          <w:rFonts w:hint="eastAsia" w:asciiTheme="minorEastAsia" w:hAnsiTheme="minorEastAsia" w:eastAsiaTheme="minorEastAsia"/>
          <w:snapToGrid w:val="0"/>
          <w:sz w:val="21"/>
        </w:rPr>
        <w:t>参与本项目政府采购活动时不存在被有关部门禁止参与政府采购活动且在有效期内的情况</w:t>
      </w:r>
      <w:r>
        <w:rPr>
          <w:rFonts w:hint="eastAsia" w:asciiTheme="minorEastAsia" w:hAnsiTheme="minorEastAsia" w:eastAsiaTheme="minorEastAsia"/>
          <w:sz w:val="21"/>
        </w:rPr>
        <w:t>（须按本项目投标文件格式要求提供《政府采购投标及履约承诺函》）；</w:t>
      </w:r>
    </w:p>
    <w:p w14:paraId="44DAAA14">
      <w:pPr>
        <w:pStyle w:val="49"/>
        <w:spacing w:line="360" w:lineRule="exact"/>
        <w:ind w:firstLine="424" w:firstLineChars="202"/>
        <w:jc w:val="left"/>
        <w:rPr>
          <w:rFonts w:asciiTheme="minorEastAsia" w:hAnsiTheme="minorEastAsia" w:eastAsiaTheme="minorEastAsia"/>
          <w:sz w:val="21"/>
        </w:rPr>
      </w:pPr>
      <w:r>
        <w:rPr>
          <w:rFonts w:hint="eastAsia" w:asciiTheme="minorEastAsia" w:hAnsiTheme="minorEastAsia" w:eastAsiaTheme="minorEastAsia"/>
          <w:sz w:val="21"/>
        </w:rPr>
        <w:t>（3）</w:t>
      </w:r>
      <w:r>
        <w:rPr>
          <w:rFonts w:hint="eastAsia" w:asciiTheme="minorEastAsia" w:hAnsiTheme="minorEastAsia" w:eastAsiaTheme="minorEastAsia"/>
          <w:snapToGrid w:val="0"/>
          <w:sz w:val="21"/>
        </w:rPr>
        <w:t>单位负责人为同一人或者存在直接控股、管理关系的不同供应商，不得参加同一合同项下</w:t>
      </w:r>
      <w:r>
        <w:rPr>
          <w:rFonts w:hint="eastAsia" w:asciiTheme="minorEastAsia" w:hAnsiTheme="minorEastAsia" w:eastAsiaTheme="minorEastAsia"/>
          <w:sz w:val="21"/>
        </w:rPr>
        <w:t>的政府采购活动（须按本项目投标文件格式要求提供《政府采购投标及履约承诺函》）；</w:t>
      </w:r>
    </w:p>
    <w:p w14:paraId="2B3454E9">
      <w:pPr>
        <w:pStyle w:val="49"/>
        <w:spacing w:line="360" w:lineRule="exact"/>
        <w:ind w:firstLine="424" w:firstLineChars="202"/>
        <w:rPr>
          <w:sz w:val="21"/>
        </w:rPr>
      </w:pPr>
      <w:r>
        <w:rPr>
          <w:rFonts w:hint="eastAsia" w:asciiTheme="minorEastAsia" w:hAnsiTheme="minorEastAsia" w:eastAsiaTheme="minorEastAsia"/>
          <w:sz w:val="21"/>
        </w:rPr>
        <w:t>（4）</w:t>
      </w:r>
      <w:r>
        <w:rPr>
          <w:rFonts w:hint="eastAsia" w:asciiTheme="minorEastAsia" w:hAnsiTheme="minorEastAsia" w:eastAsiaTheme="minorEastAsia"/>
          <w:snapToGrid w:val="0"/>
          <w:sz w:val="21"/>
        </w:rPr>
        <w:t>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sz w:val="21"/>
        </w:rPr>
        <w:t>（须按本项目投标文件格式要求提供《政府采购投标及履约承诺函》</w:t>
      </w:r>
      <w:r>
        <w:rPr>
          <w:rFonts w:hint="eastAsia"/>
          <w:sz w:val="21"/>
        </w:rPr>
        <w:t>）</w:t>
      </w:r>
      <w:r>
        <w:rPr>
          <w:rFonts w:hint="eastAsia" w:asciiTheme="minorEastAsia" w:hAnsiTheme="minorEastAsia" w:eastAsiaTheme="minorEastAsia"/>
          <w:snapToGrid w:val="0"/>
          <w:sz w:val="21"/>
        </w:rPr>
        <w:t>；</w:t>
      </w:r>
    </w:p>
    <w:p w14:paraId="30B48BDB">
      <w:pPr>
        <w:spacing w:line="360" w:lineRule="exact"/>
        <w:ind w:firstLine="424" w:firstLineChars="202"/>
        <w:jc w:val="left"/>
        <w:rPr>
          <w:rFonts w:asciiTheme="minorEastAsia" w:hAnsiTheme="minorEastAsia" w:eastAsiaTheme="minorEastAsia"/>
        </w:rPr>
      </w:pPr>
      <w:r>
        <w:rPr>
          <w:rFonts w:hint="eastAsia" w:asciiTheme="minorEastAsia" w:hAnsiTheme="minorEastAsia" w:eastAsiaTheme="minorEastAsia"/>
        </w:rPr>
        <w:t>（5）参与本项目政府采购活动不存在与其他采购参加人串通投标，隐瞒真实情况，提供虚假资料等违法违规情形</w:t>
      </w:r>
      <w:r>
        <w:rPr>
          <w:rFonts w:hint="eastAsia" w:asciiTheme="minorEastAsia" w:hAnsiTheme="minorEastAsia" w:eastAsiaTheme="minorEastAsia"/>
          <w:snapToGrid w:val="0"/>
        </w:rPr>
        <w:t>，不存在《深圳市财政局政府采购供应商信用信息管理办法》（深财规〔2023〕3号）列明的严重违法失信行为</w:t>
      </w:r>
      <w:r>
        <w:rPr>
          <w:rFonts w:hint="eastAsia" w:asciiTheme="minorEastAsia" w:hAnsiTheme="minorEastAsia" w:eastAsiaTheme="minorEastAsia"/>
        </w:rPr>
        <w:t>（须按本项目投标文件格式要求提供《政府采购投标及履约承诺函》）；</w:t>
      </w:r>
    </w:p>
    <w:p w14:paraId="346F8528">
      <w:pPr>
        <w:pStyle w:val="49"/>
        <w:spacing w:line="360" w:lineRule="exact"/>
        <w:ind w:firstLine="424" w:firstLineChars="202"/>
        <w:rPr>
          <w:rFonts w:asciiTheme="minorEastAsia" w:hAnsiTheme="minorEastAsia" w:eastAsiaTheme="minorEastAsia"/>
          <w:sz w:val="21"/>
        </w:rPr>
      </w:pPr>
      <w:r>
        <w:rPr>
          <w:rFonts w:hint="eastAsia" w:asciiTheme="minorEastAsia" w:hAnsiTheme="minorEastAsia" w:eastAsiaTheme="minorEastAsia"/>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供应商信用信息查询渠道，相关信息以开标当日的查询结果为准。由采购代理机构查询，供应商无需提供证明材料）；</w:t>
      </w:r>
    </w:p>
    <w:p w14:paraId="289AB953">
      <w:pPr>
        <w:pStyle w:val="324"/>
        <w:adjustRightInd w:val="0"/>
        <w:snapToGrid w:val="0"/>
        <w:spacing w:before="0" w:beforeAutospacing="0" w:after="0" w:afterAutospacing="0" w:line="360" w:lineRule="exact"/>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（7）具有</w:t>
      </w:r>
      <w:bookmarkStart w:id="1" w:name="OLE_LINK4"/>
      <w:r>
        <w:rPr>
          <w:rFonts w:hint="eastAsia" w:asciiTheme="minorEastAsia" w:hAnsiTheme="minorEastAsia" w:eastAsiaTheme="minorEastAsia"/>
          <w:snapToGrid w:val="0"/>
          <w:color w:val="auto"/>
          <w:sz w:val="21"/>
        </w:rPr>
        <w:t>电子与智能化工程专业承包</w:t>
      </w:r>
      <w:bookmarkEnd w:id="1"/>
      <w:r>
        <w:rPr>
          <w:rFonts w:hint="eastAsia" w:asciiTheme="minorEastAsia" w:hAnsiTheme="minorEastAsia" w:eastAsiaTheme="minorEastAsia"/>
          <w:snapToGrid w:val="0"/>
          <w:color w:val="auto"/>
          <w:sz w:val="21"/>
        </w:rPr>
        <w:t>二级（含）以上资质（提供有效资质证书扫描件，原件备查）；</w:t>
      </w:r>
    </w:p>
    <w:p w14:paraId="623F8415">
      <w:pPr>
        <w:pStyle w:val="324"/>
        <w:adjustRightInd w:val="0"/>
        <w:snapToGrid w:val="0"/>
        <w:spacing w:before="0" w:beforeAutospacing="0" w:after="0" w:afterAutospacing="0" w:line="360" w:lineRule="exact"/>
        <w:ind w:firstLine="424" w:firstLineChars="202"/>
        <w:rPr>
          <w:rFonts w:ascii="宋体" w:hAnsi="宋体" w:eastAsia="宋体"/>
          <w:snapToGrid w:val="0"/>
          <w:color w:val="auto"/>
          <w:sz w:val="21"/>
        </w:rPr>
      </w:pPr>
      <w:r>
        <w:rPr>
          <w:rFonts w:hint="eastAsia" w:asciiTheme="minorEastAsia" w:hAnsiTheme="minorEastAsia" w:eastAsiaTheme="minorEastAsia"/>
          <w:snapToGrid w:val="0"/>
          <w:color w:val="auto"/>
          <w:sz w:val="21"/>
        </w:rPr>
        <w:t>（8）具有安全生产许可证（提供有效证书扫描件，原件备查）；</w:t>
      </w:r>
    </w:p>
    <w:p w14:paraId="75499D84">
      <w:pPr>
        <w:pStyle w:val="49"/>
        <w:spacing w:line="360" w:lineRule="exact"/>
        <w:ind w:firstLine="424" w:firstLineChars="202"/>
        <w:rPr>
          <w:rFonts w:asciiTheme="minorEastAsia" w:hAnsiTheme="minorEastAsia" w:eastAsiaTheme="minorEastAsia"/>
          <w:sz w:val="21"/>
        </w:rPr>
      </w:pPr>
      <w:r>
        <w:rPr>
          <w:rFonts w:hint="eastAsia" w:asciiTheme="minorEastAsia" w:hAnsiTheme="minorEastAsia" w:eastAsiaTheme="minorEastAsia"/>
          <w:sz w:val="21"/>
        </w:rPr>
        <w:t>（9）</w:t>
      </w:r>
      <w:r>
        <w:rPr>
          <w:rFonts w:hint="eastAsia" w:asciiTheme="minorEastAsia" w:hAnsiTheme="minorEastAsia" w:eastAsiaTheme="minorEastAsia"/>
          <w:snapToGrid w:val="0"/>
          <w:sz w:val="21"/>
        </w:rPr>
        <w:t>本项目不接受联合体投标，不允许非法分包或转包</w:t>
      </w:r>
      <w:r>
        <w:rPr>
          <w:rFonts w:hint="eastAsia" w:asciiTheme="minorEastAsia" w:hAnsiTheme="minorEastAsia" w:eastAsiaTheme="minorEastAsia"/>
          <w:sz w:val="21"/>
        </w:rPr>
        <w:t>。</w:t>
      </w:r>
    </w:p>
    <w:p w14:paraId="036D1287">
      <w:pPr>
        <w:widowControl/>
        <w:adjustRightInd w:val="0"/>
        <w:snapToGrid w:val="0"/>
        <w:spacing w:line="360" w:lineRule="exact"/>
        <w:ind w:firstLine="424" w:firstLineChars="202"/>
        <w:jc w:val="left"/>
        <w:rPr>
          <w:rFonts w:ascii="宋体" w:hAnsi="宋体" w:cs="Arial Unicode MS"/>
          <w:snapToGrid w:val="0"/>
          <w:kern w:val="0"/>
          <w:szCs w:val="18"/>
        </w:rPr>
      </w:pPr>
      <w:r>
        <w:rPr>
          <w:rFonts w:hint="eastAsia" w:ascii="宋体" w:hAnsi="宋体" w:cs="Arial Unicode MS"/>
          <w:snapToGrid w:val="0"/>
          <w:kern w:val="0"/>
          <w:szCs w:val="18"/>
        </w:rPr>
        <w:t>注：供应商投标（上传投标文件）必须先行办理注册手续，具体请按照本公告“三、获取招标文件”相关内容指引办理。</w:t>
      </w:r>
    </w:p>
    <w:p w14:paraId="4D229E82">
      <w:pPr>
        <w:pStyle w:val="49"/>
        <w:spacing w:line="360" w:lineRule="exact"/>
        <w:rPr>
          <w:rFonts w:asciiTheme="minorEastAsia" w:hAnsiTheme="minorEastAsia" w:eastAsiaTheme="minorEastAsia"/>
          <w:sz w:val="21"/>
        </w:rPr>
      </w:pPr>
    </w:p>
    <w:p w14:paraId="4DC78884">
      <w:pPr>
        <w:widowControl/>
        <w:spacing w:line="360" w:lineRule="exact"/>
        <w:rPr>
          <w:rFonts w:ascii="宋体" w:hAnsi="宋体"/>
        </w:rPr>
      </w:pPr>
      <w:r>
        <w:rPr>
          <w:rFonts w:ascii="宋体" w:hAnsi="宋体"/>
        </w:rPr>
        <w:t>三、获取招标文件</w:t>
      </w:r>
    </w:p>
    <w:p w14:paraId="2912B1EB">
      <w:pPr>
        <w:widowControl/>
        <w:spacing w:line="360" w:lineRule="exact"/>
        <w:ind w:firstLine="420" w:firstLineChars="200"/>
        <w:rPr>
          <w:rFonts w:ascii="宋体" w:hAnsi="宋体"/>
        </w:rPr>
      </w:pPr>
      <w:r>
        <w:rPr>
          <w:rFonts w:hint="eastAsia" w:ascii="宋体" w:hAnsi="宋体"/>
        </w:rPr>
        <w:t>1、</w:t>
      </w:r>
      <w:r>
        <w:rPr>
          <w:rFonts w:ascii="宋体" w:hAnsi="宋体"/>
        </w:rPr>
        <w:t>时间：</w:t>
      </w:r>
      <w:r>
        <w:rPr>
          <w:rFonts w:hint="eastAsia" w:ascii="宋体" w:hAnsi="宋体"/>
          <w:b/>
          <w:u w:val="single"/>
        </w:rPr>
        <w:t>2024年</w:t>
      </w:r>
      <w:r>
        <w:rPr>
          <w:rFonts w:hint="eastAsia" w:ascii="宋体" w:hAnsi="宋体"/>
          <w:b/>
          <w:u w:val="single"/>
          <w:lang w:val="en-US" w:eastAsia="zh-CN"/>
        </w:rPr>
        <w:t>10</w:t>
      </w:r>
      <w:r>
        <w:rPr>
          <w:rFonts w:hint="eastAsia" w:ascii="宋体" w:hAnsi="宋体"/>
          <w:b/>
          <w:u w:val="single"/>
        </w:rPr>
        <w:t>月</w:t>
      </w:r>
      <w:r>
        <w:rPr>
          <w:rFonts w:hint="eastAsia" w:ascii="宋体" w:hAnsi="宋体"/>
          <w:b/>
          <w:u w:val="single"/>
          <w:lang w:val="en-US" w:eastAsia="zh-CN"/>
        </w:rPr>
        <w:t>11</w:t>
      </w:r>
      <w:r>
        <w:rPr>
          <w:rFonts w:hint="eastAsia" w:ascii="宋体" w:hAnsi="宋体"/>
          <w:b/>
          <w:u w:val="single"/>
        </w:rPr>
        <w:t>日至2024年</w:t>
      </w:r>
      <w:r>
        <w:rPr>
          <w:rFonts w:hint="eastAsia" w:ascii="宋体" w:hAnsi="宋体"/>
          <w:b/>
          <w:u w:val="single"/>
          <w:lang w:val="en-US" w:eastAsia="zh-CN"/>
        </w:rPr>
        <w:t>10</w:t>
      </w:r>
      <w:r>
        <w:rPr>
          <w:rFonts w:hint="eastAsia" w:ascii="宋体" w:hAnsi="宋体"/>
          <w:b/>
          <w:u w:val="single"/>
        </w:rPr>
        <w:t>月</w:t>
      </w:r>
      <w:r>
        <w:rPr>
          <w:rFonts w:hint="eastAsia" w:ascii="宋体" w:hAnsi="宋体"/>
          <w:b/>
          <w:u w:val="single"/>
          <w:lang w:val="en-US" w:eastAsia="zh-CN"/>
        </w:rPr>
        <w:t>22</w:t>
      </w:r>
      <w:r>
        <w:rPr>
          <w:rFonts w:hint="eastAsia" w:ascii="宋体" w:hAnsi="宋体"/>
          <w:b/>
          <w:u w:val="single"/>
        </w:rPr>
        <w:t>日</w:t>
      </w:r>
      <w:r>
        <w:rPr>
          <w:rFonts w:hint="eastAsia" w:ascii="宋体" w:hAnsi="宋体"/>
          <w:b/>
          <w:u w:val="single"/>
          <w:lang w:val="en-US" w:eastAsia="zh-CN"/>
        </w:rPr>
        <w:t>14</w:t>
      </w:r>
      <w:r>
        <w:rPr>
          <w:rFonts w:ascii="宋体" w:hAnsi="宋体"/>
          <w:b/>
          <w:u w:val="single"/>
        </w:rPr>
        <w:t>:00</w:t>
      </w:r>
      <w:r>
        <w:rPr>
          <w:rFonts w:hint="eastAsia" w:ascii="宋体" w:hAnsi="宋体"/>
          <w:b/>
          <w:u w:val="single"/>
        </w:rPr>
        <w:t>，每天上午0:00至12:00，下午12:00至24:00（北京时间，法定节假日除外）</w:t>
      </w:r>
      <w:r>
        <w:rPr>
          <w:rFonts w:hint="eastAsia" w:ascii="宋体" w:hAnsi="宋体"/>
        </w:rPr>
        <w:t>。</w:t>
      </w:r>
      <w:r>
        <w:rPr>
          <w:rFonts w:ascii="宋体" w:hAnsi="宋体"/>
        </w:rPr>
        <w:t xml:space="preserve"> </w:t>
      </w:r>
    </w:p>
    <w:p w14:paraId="212F7695">
      <w:pPr>
        <w:spacing w:line="360" w:lineRule="exact"/>
        <w:ind w:firstLine="420" w:firstLineChars="200"/>
        <w:rPr>
          <w:rFonts w:ascii="宋体" w:hAnsi="宋体"/>
        </w:rPr>
      </w:pPr>
      <w:r>
        <w:rPr>
          <w:rFonts w:hint="eastAsia" w:ascii="宋体" w:hAnsi="宋体"/>
        </w:rPr>
        <w:t>2、</w:t>
      </w:r>
      <w:r>
        <w:rPr>
          <w:rFonts w:ascii="宋体" w:hAnsi="宋体"/>
        </w:rPr>
        <w:t>地点：</w:t>
      </w:r>
      <w:r>
        <w:rPr>
          <w:rFonts w:hint="eastAsia" w:ascii="宋体" w:hAnsi="宋体"/>
        </w:rPr>
        <w:t>登录深圳政府采购智慧平台（http://zfcg.szggzy.com:8081/）下载本项目的招标文件</w:t>
      </w:r>
      <w:r>
        <w:rPr>
          <w:rFonts w:ascii="宋体" w:hAnsi="宋体"/>
        </w:rPr>
        <w:t xml:space="preserve">。 </w:t>
      </w:r>
    </w:p>
    <w:p w14:paraId="0BE0A73E">
      <w:pPr>
        <w:spacing w:line="360" w:lineRule="exact"/>
        <w:ind w:firstLine="420" w:firstLineChars="200"/>
        <w:rPr>
          <w:rFonts w:ascii="宋体" w:hAnsi="宋体"/>
        </w:rPr>
      </w:pPr>
      <w:r>
        <w:rPr>
          <w:rFonts w:hint="eastAsia" w:ascii="宋体" w:hAnsi="宋体"/>
        </w:rPr>
        <w:t>3、</w:t>
      </w:r>
      <w:r>
        <w:rPr>
          <w:rFonts w:ascii="宋体" w:hAnsi="宋体"/>
        </w:rPr>
        <w:t xml:space="preserve">方式：在线下载。 </w:t>
      </w:r>
    </w:p>
    <w:p w14:paraId="5E61D387">
      <w:pPr>
        <w:spacing w:line="360" w:lineRule="exact"/>
        <w:ind w:firstLine="420" w:firstLineChars="200"/>
        <w:rPr>
          <w:rFonts w:ascii="宋体" w:hAnsi="宋体"/>
        </w:rPr>
      </w:pPr>
      <w:r>
        <w:rPr>
          <w:rFonts w:hint="eastAsia" w:ascii="宋体" w:hAnsi="宋体"/>
        </w:rPr>
        <w:t>4、</w:t>
      </w:r>
      <w:r>
        <w:rPr>
          <w:rFonts w:ascii="宋体" w:hAnsi="宋体"/>
        </w:rPr>
        <w:t>售价：免费。</w:t>
      </w:r>
    </w:p>
    <w:p w14:paraId="4E7BD21B">
      <w:pPr>
        <w:spacing w:line="360" w:lineRule="exact"/>
        <w:ind w:firstLine="420" w:firstLineChars="200"/>
        <w:rPr>
          <w:rFonts w:ascii="宋体" w:hAnsi="宋体"/>
        </w:rPr>
      </w:pPr>
      <w:r>
        <w:rPr>
          <w:rFonts w:hint="eastAsia" w:ascii="宋体" w:hAnsi="宋体"/>
        </w:rPr>
        <w:t>凡已注册的深圳市网上政府采购供应商，按照授予的操作权限，可于</w:t>
      </w:r>
      <w:r>
        <w:rPr>
          <w:rFonts w:hint="eastAsia" w:ascii="宋体" w:hAnsi="宋体"/>
          <w:b/>
          <w:u w:val="single"/>
        </w:rPr>
        <w:t>获取招标文件时间内</w:t>
      </w:r>
      <w:r>
        <w:rPr>
          <w:rFonts w:hint="eastAsia" w:ascii="宋体" w:hAnsi="宋体"/>
        </w:rPr>
        <w:t>登录深圳政府采购智慧平台（http://zfcg.szggzy.com:8081/）下载本项目的采购文件。投标人如确定参加投标，首先要在深圳政府采购智慧平台网上办事子系统（http://zfcg.szggzy.com:8081/TPBidder/memberLogin）网上报名投标，方法为登陆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w:t>
      </w:r>
      <w:r>
        <w:fldChar w:fldCharType="begin"/>
      </w:r>
      <w:r>
        <w:instrText xml:space="preserve"> HYPERLINK "http://zfcg.szggzy.com:8081/TPBidder/CAHandle" </w:instrText>
      </w:r>
      <w:r>
        <w:fldChar w:fldCharType="separate"/>
      </w:r>
      <w:r>
        <w:rPr>
          <w:rFonts w:ascii="宋体" w:hAnsi="宋体"/>
          <w:color w:val="0000FF"/>
          <w:u w:val="single"/>
        </w:rPr>
        <w:t>请点击</w:t>
      </w:r>
      <w:r>
        <w:rPr>
          <w:rFonts w:ascii="宋体" w:hAnsi="宋体"/>
          <w:color w:val="0000FF"/>
          <w:u w:val="single"/>
        </w:rPr>
        <w:fldChar w:fldCharType="end"/>
      </w:r>
      <w:r>
        <w:rPr>
          <w:rFonts w:hint="eastAsia" w:ascii="宋体" w:hAnsi="宋体"/>
        </w:rPr>
        <w:t>），并前往深圳公共资源交易中心绑定深圳政府采购智慧平台用户（电子密钥办理咨询电话：0755-83948165、0755-83938966、020-89524338），再进行投标报名。在网上报名后，点击“【我的项目】→【项目流程】→【采购文件下载】”进行招标文件的下载。</w:t>
      </w:r>
    </w:p>
    <w:p w14:paraId="64906A9F">
      <w:pPr>
        <w:widowControl/>
        <w:spacing w:line="360" w:lineRule="exact"/>
        <w:ind w:firstLine="420" w:firstLineChars="200"/>
        <w:rPr>
          <w:rFonts w:ascii="宋体" w:hAnsi="宋体"/>
        </w:rPr>
      </w:pPr>
    </w:p>
    <w:p w14:paraId="4AD7BB9F">
      <w:pPr>
        <w:widowControl/>
        <w:spacing w:line="360" w:lineRule="exact"/>
        <w:rPr>
          <w:rFonts w:ascii="宋体" w:hAnsi="宋体"/>
        </w:rPr>
      </w:pPr>
      <w:r>
        <w:rPr>
          <w:rFonts w:ascii="宋体" w:hAnsi="宋体"/>
        </w:rPr>
        <w:t>四、提交投标文件截止时间、开标时间和地点</w:t>
      </w:r>
    </w:p>
    <w:p w14:paraId="37E50E1C">
      <w:pPr>
        <w:widowControl/>
        <w:spacing w:line="360" w:lineRule="exact"/>
        <w:ind w:firstLine="424" w:firstLineChars="202"/>
        <w:rPr>
          <w:rFonts w:ascii="宋体" w:hAnsi="宋体"/>
        </w:rPr>
      </w:pPr>
      <w:r>
        <w:rPr>
          <w:rFonts w:hint="eastAsia" w:ascii="宋体" w:hAnsi="宋体"/>
        </w:rPr>
        <w:t>1、投标截止时间：所有投标文件应于</w:t>
      </w:r>
      <w:r>
        <w:rPr>
          <w:rFonts w:ascii="宋体" w:hAnsi="宋体"/>
          <w:sz w:val="21"/>
        </w:rPr>
        <w:t xml:space="preserve"> </w:t>
      </w:r>
      <w:r>
        <w:rPr>
          <w:rFonts w:ascii="宋体" w:hAnsi="宋体"/>
          <w:b/>
          <w:sz w:val="21"/>
          <w:u w:val="single"/>
        </w:rPr>
        <w:t>2024年</w:t>
      </w:r>
      <w:r>
        <w:rPr>
          <w:rFonts w:hint="eastAsia" w:ascii="宋体" w:hAnsi="宋体"/>
          <w:b/>
          <w:sz w:val="21"/>
          <w:u w:val="single"/>
          <w:lang w:val="en-US" w:eastAsia="zh-CN"/>
        </w:rPr>
        <w:t>10</w:t>
      </w:r>
      <w:r>
        <w:rPr>
          <w:rFonts w:ascii="宋体" w:hAnsi="宋体"/>
          <w:b/>
          <w:sz w:val="21"/>
          <w:u w:val="single"/>
        </w:rPr>
        <w:t>月</w:t>
      </w:r>
      <w:r>
        <w:rPr>
          <w:rFonts w:hint="eastAsia" w:ascii="宋体" w:hAnsi="宋体"/>
          <w:b/>
          <w:sz w:val="21"/>
          <w:u w:val="single"/>
          <w:lang w:val="en-US" w:eastAsia="zh-CN"/>
        </w:rPr>
        <w:t>22</w:t>
      </w:r>
      <w:r>
        <w:rPr>
          <w:rFonts w:ascii="宋体" w:hAnsi="宋体"/>
          <w:b/>
          <w:sz w:val="21"/>
          <w:u w:val="single"/>
        </w:rPr>
        <w:t>日</w:t>
      </w:r>
      <w:r>
        <w:rPr>
          <w:rFonts w:hint="eastAsia" w:ascii="宋体" w:hAnsi="宋体"/>
          <w:b/>
          <w:sz w:val="21"/>
          <w:u w:val="single"/>
          <w:lang w:val="en-US" w:eastAsia="zh-CN"/>
        </w:rPr>
        <w:t>14</w:t>
      </w:r>
      <w:r>
        <w:rPr>
          <w:rFonts w:hint="eastAsia" w:ascii="宋体" w:hAnsi="宋体"/>
          <w:b/>
          <w:sz w:val="21"/>
          <w:u w:val="single"/>
        </w:rPr>
        <w:t>:00</w:t>
      </w:r>
      <w:r>
        <w:rPr>
          <w:rFonts w:hint="eastAsia" w:ascii="宋体" w:hAnsi="宋体"/>
          <w:b/>
          <w:u w:val="single"/>
        </w:rPr>
        <w:t>（北京时间）</w:t>
      </w:r>
      <w:r>
        <w:rPr>
          <w:rFonts w:hint="eastAsia" w:ascii="宋体" w:hAnsi="宋体"/>
        </w:rPr>
        <w:t>之前上传到深圳政府采购智慧平台（http://zfcg.szggzy.com:8081/）。具体操作为登录“深圳政府采购智慧平台用户网上办事子系统（</w:t>
      </w:r>
      <w:r>
        <w:rPr>
          <w:rFonts w:hint="eastAsia" w:ascii="宋体" w:hAnsi="宋体"/>
          <w:sz w:val="20"/>
          <w:szCs w:val="22"/>
        </w:rPr>
        <w:t>http://zfcg.szggzy.com:8081/TPBidder/memberLogin</w:t>
      </w:r>
      <w:r>
        <w:rPr>
          <w:rFonts w:hint="eastAsia" w:ascii="宋体" w:hAnsi="宋体"/>
        </w:rPr>
        <w:t>）”，用“【我的项目】→【项目流程】→【递交投标(应答)文件】”功能点上传投标文件。本项目电子投标文件最大容量为200MB</w:t>
      </w:r>
      <w:r>
        <w:rPr>
          <w:rFonts w:hint="eastAsia" w:ascii="宋体" w:hAnsi="宋体" w:cs="宋体"/>
          <w:szCs w:val="21"/>
        </w:rPr>
        <w:t>，单个节点文件不能超过</w:t>
      </w:r>
      <w:r>
        <w:rPr>
          <w:rFonts w:ascii="宋体" w:hAnsi="宋体" w:cs="宋体"/>
          <w:szCs w:val="21"/>
        </w:rPr>
        <w:t>50M</w:t>
      </w:r>
      <w:r>
        <w:rPr>
          <w:rFonts w:hint="eastAsia" w:ascii="宋体" w:hAnsi="宋体" w:cs="宋体"/>
          <w:szCs w:val="21"/>
        </w:rPr>
        <w:t>B</w:t>
      </w:r>
      <w:r>
        <w:rPr>
          <w:rFonts w:hint="eastAsia" w:ascii="宋体" w:hAnsi="宋体"/>
        </w:rPr>
        <w:t>，超过此容量的文件将被拒绝。</w:t>
      </w:r>
    </w:p>
    <w:p w14:paraId="42774779">
      <w:pPr>
        <w:widowControl/>
        <w:spacing w:line="360" w:lineRule="exact"/>
        <w:ind w:firstLine="424" w:firstLineChars="202"/>
        <w:rPr>
          <w:rFonts w:ascii="宋体" w:hAnsi="宋体"/>
        </w:rPr>
      </w:pPr>
      <w:r>
        <w:rPr>
          <w:rFonts w:hint="eastAsia" w:ascii="宋体" w:hAnsi="宋体"/>
        </w:rPr>
        <w:t>2、开标时间和地点：定于</w:t>
      </w:r>
      <w:r>
        <w:rPr>
          <w:rFonts w:ascii="宋体" w:hAnsi="宋体"/>
          <w:sz w:val="21"/>
        </w:rPr>
        <w:t xml:space="preserve"> </w:t>
      </w:r>
      <w:r>
        <w:rPr>
          <w:rFonts w:ascii="宋体" w:hAnsi="宋体"/>
          <w:b/>
          <w:sz w:val="21"/>
          <w:u w:val="single"/>
        </w:rPr>
        <w:t>2024年</w:t>
      </w:r>
      <w:r>
        <w:rPr>
          <w:rFonts w:hint="eastAsia" w:ascii="宋体" w:hAnsi="宋体"/>
          <w:b/>
          <w:sz w:val="21"/>
          <w:u w:val="single"/>
          <w:lang w:val="en-US" w:eastAsia="zh-CN"/>
        </w:rPr>
        <w:t>10</w:t>
      </w:r>
      <w:r>
        <w:rPr>
          <w:rFonts w:ascii="宋体" w:hAnsi="宋体"/>
          <w:b/>
          <w:sz w:val="21"/>
          <w:u w:val="single"/>
        </w:rPr>
        <w:t>月</w:t>
      </w:r>
      <w:r>
        <w:rPr>
          <w:rFonts w:hint="eastAsia" w:ascii="宋体" w:hAnsi="宋体"/>
          <w:b/>
          <w:sz w:val="21"/>
          <w:u w:val="single"/>
          <w:lang w:val="en-US" w:eastAsia="zh-CN"/>
        </w:rPr>
        <w:t>22</w:t>
      </w:r>
      <w:r>
        <w:rPr>
          <w:rFonts w:ascii="宋体" w:hAnsi="宋体"/>
          <w:b/>
          <w:sz w:val="21"/>
          <w:u w:val="single"/>
        </w:rPr>
        <w:t>日</w:t>
      </w:r>
      <w:r>
        <w:rPr>
          <w:rFonts w:hint="eastAsia" w:ascii="宋体" w:hAnsi="宋体"/>
          <w:b/>
          <w:sz w:val="21"/>
          <w:u w:val="single"/>
          <w:lang w:val="en-US" w:eastAsia="zh-CN"/>
        </w:rPr>
        <w:t>14</w:t>
      </w:r>
      <w:r>
        <w:rPr>
          <w:rFonts w:hint="eastAsia" w:ascii="宋体" w:hAnsi="宋体"/>
          <w:b/>
          <w:sz w:val="21"/>
          <w:u w:val="single"/>
        </w:rPr>
        <w:t>:00</w:t>
      </w:r>
      <w:r>
        <w:rPr>
          <w:rFonts w:hint="eastAsia" w:ascii="宋体" w:hAnsi="宋体"/>
          <w:b/>
          <w:u w:val="single"/>
        </w:rPr>
        <w:t>（北京时间）</w:t>
      </w:r>
      <w:r>
        <w:rPr>
          <w:rFonts w:hint="eastAsia" w:ascii="宋体" w:hAnsi="宋体"/>
        </w:rPr>
        <w:t>，在深圳市中正招标有限公司公开开标。供应商可以登录“深圳政府采购智慧平台用户网上办事子系统（http://zfcg.szggzy.com:8081/TPBidder/memberLogin）”，在“【我的项目】→【项目流程】→【开标及解密】”进行在线解密、查询开标情况。</w:t>
      </w:r>
    </w:p>
    <w:p w14:paraId="02247EFB">
      <w:pPr>
        <w:widowControl/>
        <w:spacing w:line="360" w:lineRule="exact"/>
        <w:ind w:firstLine="426" w:firstLineChars="202"/>
        <w:rPr>
          <w:rFonts w:ascii="宋体" w:hAnsi="宋体"/>
        </w:rPr>
      </w:pPr>
      <w:r>
        <w:rPr>
          <w:rFonts w:hint="eastAsia" w:ascii="宋体" w:hAnsi="宋体"/>
          <w:b/>
        </w:rPr>
        <w:t>3、在线解密：投标人须在</w:t>
      </w:r>
      <w:r>
        <w:rPr>
          <w:rFonts w:ascii="宋体" w:hAnsi="宋体"/>
          <w:sz w:val="21"/>
        </w:rPr>
        <w:t xml:space="preserve"> </w:t>
      </w:r>
      <w:r>
        <w:rPr>
          <w:rFonts w:ascii="宋体" w:hAnsi="宋体"/>
          <w:b/>
          <w:sz w:val="21"/>
          <w:u w:val="single"/>
        </w:rPr>
        <w:t>2024年</w:t>
      </w:r>
      <w:r>
        <w:rPr>
          <w:rFonts w:hint="eastAsia" w:ascii="宋体" w:hAnsi="宋体"/>
          <w:b/>
          <w:sz w:val="21"/>
          <w:u w:val="single"/>
          <w:lang w:val="en-US" w:eastAsia="zh-CN"/>
        </w:rPr>
        <w:t>10</w:t>
      </w:r>
      <w:r>
        <w:rPr>
          <w:rFonts w:ascii="宋体" w:hAnsi="宋体"/>
          <w:b/>
          <w:sz w:val="21"/>
          <w:u w:val="single"/>
        </w:rPr>
        <w:t>月</w:t>
      </w:r>
      <w:r>
        <w:rPr>
          <w:rFonts w:hint="eastAsia" w:ascii="宋体" w:hAnsi="宋体"/>
          <w:b/>
          <w:sz w:val="21"/>
          <w:u w:val="single"/>
          <w:lang w:val="en-US" w:eastAsia="zh-CN"/>
        </w:rPr>
        <w:t>22</w:t>
      </w:r>
      <w:r>
        <w:rPr>
          <w:rFonts w:ascii="宋体" w:hAnsi="宋体"/>
          <w:b/>
          <w:sz w:val="21"/>
          <w:u w:val="single"/>
        </w:rPr>
        <w:t>日</w:t>
      </w:r>
      <w:r>
        <w:rPr>
          <w:rFonts w:hint="eastAsia" w:ascii="宋体" w:hAnsi="宋体"/>
          <w:b/>
          <w:sz w:val="21"/>
          <w:u w:val="single"/>
          <w:lang w:val="en-US" w:eastAsia="zh-CN"/>
        </w:rPr>
        <w:t>14</w:t>
      </w:r>
      <w:r>
        <w:rPr>
          <w:rFonts w:hint="eastAsia" w:ascii="宋体" w:hAnsi="宋体"/>
          <w:b/>
          <w:sz w:val="21"/>
          <w:u w:val="single"/>
        </w:rPr>
        <w:t>:00</w:t>
      </w:r>
      <w:r>
        <w:rPr>
          <w:rFonts w:hint="eastAsia" w:ascii="宋体" w:hAnsi="宋体"/>
          <w:b/>
          <w:u w:val="single"/>
        </w:rPr>
        <w:t>-1</w:t>
      </w:r>
      <w:r>
        <w:rPr>
          <w:rFonts w:hint="eastAsia" w:ascii="宋体" w:hAnsi="宋体"/>
          <w:b/>
          <w:u w:val="single"/>
          <w:lang w:val="en-US" w:eastAsia="zh-CN"/>
        </w:rPr>
        <w:t>5</w:t>
      </w:r>
      <w:r>
        <w:rPr>
          <w:rFonts w:hint="eastAsia" w:ascii="宋体" w:hAnsi="宋体"/>
          <w:b/>
          <w:u w:val="single"/>
        </w:rPr>
        <w:t>:00（北京时间）</w:t>
      </w:r>
      <w:r>
        <w:rPr>
          <w:rFonts w:hint="eastAsia" w:ascii="宋体" w:hAnsi="宋体"/>
          <w:b/>
        </w:rPr>
        <w:t>期间进行解密，逾期未解密的作无效处理。</w:t>
      </w:r>
      <w:r>
        <w:rPr>
          <w:rFonts w:hint="eastAsia" w:ascii="宋体" w:hAnsi="宋体"/>
        </w:rPr>
        <w:t>解密方法：登录“深圳政府采购智慧平台用户网上办事子系统（http://zfcg.szggzy.com:8081/TPBidder/memberLogin）”，使用本单位制作电子投标文件同一个电子密钥，在“【我的项目】→【项目流程】→【开标及解密】”进行在线解密、查询开标情况。</w:t>
      </w:r>
    </w:p>
    <w:p w14:paraId="7D6C476C">
      <w:pPr>
        <w:widowControl/>
        <w:spacing w:line="360" w:lineRule="exact"/>
        <w:ind w:left="420" w:leftChars="200"/>
        <w:rPr>
          <w:rFonts w:ascii="宋体" w:hAnsi="宋体"/>
        </w:rPr>
      </w:pPr>
    </w:p>
    <w:p w14:paraId="57C6894D">
      <w:pPr>
        <w:widowControl/>
        <w:spacing w:line="360" w:lineRule="exact"/>
        <w:rPr>
          <w:rFonts w:ascii="宋体" w:hAnsi="宋体"/>
        </w:rPr>
      </w:pPr>
      <w:r>
        <w:rPr>
          <w:rFonts w:ascii="宋体" w:hAnsi="宋体"/>
        </w:rPr>
        <w:t>五、公告期限</w:t>
      </w:r>
    </w:p>
    <w:p w14:paraId="5ECE58DC">
      <w:pPr>
        <w:widowControl/>
        <w:spacing w:line="360" w:lineRule="exact"/>
        <w:ind w:firstLine="420" w:firstLineChars="200"/>
        <w:rPr>
          <w:rFonts w:ascii="宋体" w:hAnsi="宋体"/>
        </w:rPr>
      </w:pPr>
      <w:r>
        <w:rPr>
          <w:rFonts w:ascii="宋体" w:hAnsi="宋体"/>
        </w:rPr>
        <w:t>自本公告发布之日起5个工作日。</w:t>
      </w:r>
    </w:p>
    <w:p w14:paraId="34F46995">
      <w:pPr>
        <w:widowControl/>
        <w:spacing w:line="360" w:lineRule="exact"/>
        <w:ind w:firstLine="420" w:firstLineChars="200"/>
        <w:rPr>
          <w:rFonts w:ascii="宋体" w:hAnsi="宋体"/>
        </w:rPr>
      </w:pPr>
    </w:p>
    <w:p w14:paraId="3E597800">
      <w:pPr>
        <w:widowControl/>
        <w:spacing w:line="360" w:lineRule="exact"/>
        <w:rPr>
          <w:rFonts w:ascii="宋体" w:hAnsi="宋体"/>
        </w:rPr>
      </w:pPr>
      <w:r>
        <w:rPr>
          <w:rFonts w:ascii="宋体" w:hAnsi="宋体"/>
        </w:rPr>
        <w:t>六、其他补充事宜</w:t>
      </w:r>
    </w:p>
    <w:p w14:paraId="39726B3A">
      <w:pPr>
        <w:spacing w:line="360" w:lineRule="exact"/>
        <w:ind w:firstLine="424" w:firstLineChars="202"/>
        <w:rPr>
          <w:rFonts w:ascii="宋体" w:hAnsi="宋体"/>
        </w:rPr>
      </w:pPr>
      <w:r>
        <w:rPr>
          <w:rFonts w:hint="eastAsia" w:ascii="宋体" w:hAnsi="宋体"/>
        </w:rPr>
        <w:t>1、本项目实行网上投标，采用电子投标文件。</w:t>
      </w:r>
    </w:p>
    <w:p w14:paraId="6F441E00">
      <w:pPr>
        <w:spacing w:line="360" w:lineRule="exact"/>
        <w:ind w:firstLine="424" w:firstLineChars="202"/>
        <w:rPr>
          <w:rFonts w:ascii="宋体" w:hAnsi="宋体"/>
        </w:rPr>
      </w:pPr>
      <w:r>
        <w:rPr>
          <w:rFonts w:hint="eastAsia" w:ascii="宋体" w:hAnsi="宋体"/>
        </w:rPr>
        <w:t>2、采购文件澄清/修改事项：</w:t>
      </w:r>
      <w:r>
        <w:rPr>
          <w:rFonts w:hint="eastAsia" w:ascii="宋体" w:hAnsi="宋体"/>
          <w:b/>
          <w:u w:val="single"/>
        </w:rPr>
        <w:t>2024年</w:t>
      </w:r>
      <w:r>
        <w:rPr>
          <w:rFonts w:hint="eastAsia" w:ascii="宋体" w:hAnsi="宋体"/>
          <w:b/>
          <w:u w:val="single"/>
          <w:lang w:val="en-US" w:eastAsia="zh-CN"/>
        </w:rPr>
        <w:t>10</w:t>
      </w:r>
      <w:r>
        <w:rPr>
          <w:rFonts w:hint="eastAsia" w:ascii="宋体" w:hAnsi="宋体"/>
          <w:b/>
          <w:u w:val="single"/>
        </w:rPr>
        <w:t>月</w:t>
      </w:r>
      <w:r>
        <w:rPr>
          <w:rFonts w:hint="eastAsia" w:ascii="宋体" w:hAnsi="宋体"/>
          <w:b/>
          <w:u w:val="single"/>
          <w:lang w:val="en-US" w:eastAsia="zh-CN"/>
        </w:rPr>
        <w:t>17</w:t>
      </w:r>
      <w:r>
        <w:rPr>
          <w:rFonts w:hint="eastAsia" w:ascii="宋体" w:hAnsi="宋体"/>
          <w:b/>
          <w:u w:val="single"/>
        </w:rPr>
        <w:t>日00:00（北京时间）</w:t>
      </w:r>
      <w:r>
        <w:rPr>
          <w:rFonts w:hint="eastAsia" w:ascii="宋体" w:hAnsi="宋体"/>
        </w:rPr>
        <w:t>前，供应商如果认为采购文件存在不明确、不清晰和前后不一致等问题，可登录“深圳政府采购智慧平台用户网上办事子系统（http://zfcg.szggzy.com:8081/TPBidder/memberLogin）”，在“【我的项目】→【项目流程】→【提问】”功能点中填写需澄清内容。</w:t>
      </w:r>
      <w:r>
        <w:rPr>
          <w:rFonts w:hint="eastAsia" w:ascii="宋体" w:hAnsi="宋体"/>
          <w:b/>
          <w:u w:val="single"/>
        </w:rPr>
        <w:t>2024年</w:t>
      </w:r>
      <w:r>
        <w:rPr>
          <w:rFonts w:hint="eastAsia" w:ascii="宋体" w:hAnsi="宋体"/>
          <w:b/>
          <w:u w:val="single"/>
          <w:lang w:val="en-US" w:eastAsia="zh-CN"/>
        </w:rPr>
        <w:t>10</w:t>
      </w:r>
      <w:r>
        <w:rPr>
          <w:rFonts w:hint="eastAsia" w:ascii="宋体" w:hAnsi="宋体"/>
          <w:b/>
          <w:u w:val="single"/>
        </w:rPr>
        <w:t>月</w:t>
      </w:r>
      <w:r>
        <w:rPr>
          <w:rFonts w:hint="eastAsia" w:ascii="宋体" w:hAnsi="宋体"/>
          <w:b/>
          <w:u w:val="single"/>
          <w:lang w:val="en-US" w:eastAsia="zh-CN"/>
        </w:rPr>
        <w:t>19</w:t>
      </w:r>
      <w:r>
        <w:rPr>
          <w:rFonts w:hint="eastAsia" w:ascii="宋体" w:hAnsi="宋体"/>
          <w:b/>
          <w:u w:val="single"/>
        </w:rPr>
        <w:t>日00:00（北京时间）</w:t>
      </w:r>
      <w:r>
        <w:rPr>
          <w:rFonts w:hint="eastAsia" w:ascii="宋体" w:hAnsi="宋体"/>
        </w:rPr>
        <w:t>前将采购文件澄清/修改情况在“【我的项目】→【项目流程】→【答疑澄清文件下载】”中公布，望投标人予以关注。</w:t>
      </w:r>
    </w:p>
    <w:p w14:paraId="139D9D97">
      <w:pPr>
        <w:spacing w:line="360" w:lineRule="exact"/>
        <w:ind w:firstLine="424" w:firstLineChars="202"/>
        <w:rPr>
          <w:rFonts w:ascii="宋体" w:hAnsi="宋体"/>
        </w:rPr>
      </w:pPr>
      <w:r>
        <w:rPr>
          <w:rFonts w:hint="eastAsia" w:ascii="宋体" w:hAnsi="宋体"/>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网（</w:t>
      </w:r>
      <w:r>
        <w:rPr>
          <w:rFonts w:hint="eastAsia" w:ascii="宋体" w:hAnsi="宋体"/>
          <w:sz w:val="16"/>
          <w:szCs w:val="20"/>
        </w:rPr>
        <w:t>https://www.szggzy.com/fwdh/fwdhzfcg/bszn1/content_203163.html</w:t>
      </w:r>
      <w:r>
        <w:rPr>
          <w:rFonts w:hint="eastAsia" w:ascii="宋体" w:hAnsi="宋体"/>
        </w:rPr>
        <w:t>）所发布的质疑指引、质疑函模板填写质疑函并提交质疑材料。质疑材料可以采用现场或邮寄方式提交，采用邮寄方式提交的，交邮时间应在本公告发布之日起七个工作日内。质疑材料现场提交、邮寄地址：深圳市福田区民田路171号新华保险大厦903深圳市中正招标有限公司。质疑咨询电话：0755-83026699。根据《深圳经济特区政府采购条例》第四十二条“供应商投诉的事项应当是经过质疑的事项”的规定，未经正式质疑的，将影响供应商行使向财政部门提起投诉的权利。）</w:t>
      </w:r>
    </w:p>
    <w:p w14:paraId="0E645625">
      <w:pPr>
        <w:spacing w:line="360" w:lineRule="exact"/>
        <w:ind w:firstLine="424" w:firstLineChars="202"/>
        <w:rPr>
          <w:rFonts w:ascii="宋体" w:hAnsi="宋体"/>
        </w:rPr>
      </w:pPr>
      <w:r>
        <w:rPr>
          <w:rFonts w:hint="eastAsia" w:ascii="宋体" w:hAnsi="宋体"/>
        </w:rPr>
        <w:t xml:space="preserve">3、深圳市中正招标有限公司有权对投标人就本项目要求提供的相关证明资料（原件）进行审查。供应商提供虚假资料被查实的，则可能面临被取消本项目中标资格、列入不良行为记录名单和三年内禁止参与深圳市政府采购活动的风险。 </w:t>
      </w:r>
    </w:p>
    <w:p w14:paraId="280A3E2B">
      <w:pPr>
        <w:spacing w:line="360" w:lineRule="exact"/>
        <w:ind w:firstLine="424" w:firstLineChars="202"/>
        <w:rPr>
          <w:rFonts w:ascii="宋体" w:hAnsi="宋体"/>
        </w:rPr>
      </w:pPr>
      <w:r>
        <w:rPr>
          <w:rFonts w:hint="eastAsia" w:ascii="宋体" w:hAnsi="宋体"/>
        </w:rPr>
        <w:t>4、本招标公告及本项目招标文件所涉及的时间一律为北京时间。投标人有义务在招标活动期间浏览深圳公共资源交易网（</w:t>
      </w:r>
      <w:r>
        <w:rPr>
          <w:rFonts w:ascii="宋体" w:hAnsi="宋体"/>
        </w:rPr>
        <w:t>https://www.szggzy.com</w:t>
      </w:r>
      <w:r>
        <w:rPr>
          <w:rFonts w:hint="eastAsia" w:ascii="宋体" w:hAnsi="宋体"/>
        </w:rPr>
        <w:t>），在深圳公共资源交易网上公布的与本次招标项目有关的信息视为已送达各投标人。</w:t>
      </w:r>
    </w:p>
    <w:p w14:paraId="0BE6441D">
      <w:pPr>
        <w:spacing w:line="360" w:lineRule="exact"/>
        <w:ind w:firstLine="424" w:firstLineChars="202"/>
        <w:rPr>
          <w:rFonts w:ascii="宋体" w:hAnsi="宋体"/>
        </w:rPr>
      </w:pPr>
      <w:r>
        <w:rPr>
          <w:rFonts w:hint="eastAsia" w:ascii="宋体" w:hAnsi="宋体"/>
        </w:rPr>
        <w:t>5、本项目不需要投标保证金</w:t>
      </w:r>
      <w:r>
        <w:rPr>
          <w:rFonts w:ascii="宋体" w:hAnsi="宋体"/>
        </w:rPr>
        <w:t>。</w:t>
      </w:r>
    </w:p>
    <w:p w14:paraId="633884F8">
      <w:pPr>
        <w:widowControl/>
        <w:spacing w:line="360" w:lineRule="exact"/>
        <w:ind w:firstLine="424" w:firstLineChars="202"/>
        <w:rPr>
          <w:rFonts w:ascii="宋体" w:hAnsi="宋体"/>
        </w:rPr>
      </w:pPr>
    </w:p>
    <w:p w14:paraId="4866D244">
      <w:pPr>
        <w:widowControl/>
        <w:spacing w:line="360" w:lineRule="exact"/>
        <w:rPr>
          <w:rFonts w:ascii="宋体" w:hAnsi="宋体"/>
        </w:rPr>
      </w:pPr>
      <w:r>
        <w:rPr>
          <w:rFonts w:ascii="宋体" w:hAnsi="宋体"/>
        </w:rPr>
        <w:t>七、对本次招标提出询问，请按以下方式联系。</w:t>
      </w:r>
    </w:p>
    <w:p w14:paraId="4E3AE525">
      <w:pPr>
        <w:pStyle w:val="49"/>
        <w:widowControl/>
        <w:spacing w:line="360" w:lineRule="exact"/>
        <w:ind w:firstLine="424" w:firstLineChars="202"/>
        <w:rPr>
          <w:rFonts w:ascii="宋体" w:hAnsi="宋体"/>
          <w:sz w:val="21"/>
        </w:rPr>
      </w:pPr>
      <w:r>
        <w:rPr>
          <w:rFonts w:hint="eastAsia" w:ascii="宋体" w:hAnsi="宋体"/>
          <w:sz w:val="21"/>
        </w:rPr>
        <w:t>1、</w:t>
      </w:r>
      <w:r>
        <w:rPr>
          <w:rFonts w:ascii="宋体" w:hAnsi="宋体"/>
          <w:sz w:val="21"/>
        </w:rPr>
        <w:t xml:space="preserve">采购人信息 </w:t>
      </w:r>
    </w:p>
    <w:p w14:paraId="1541D085">
      <w:pPr>
        <w:pStyle w:val="324"/>
        <w:adjustRightInd w:val="0"/>
        <w:snapToGrid w:val="0"/>
        <w:spacing w:before="0" w:beforeAutospacing="0" w:after="0" w:afterAutospacing="0" w:line="360" w:lineRule="exact"/>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名称：深圳市儿童医院</w:t>
      </w:r>
      <w:r>
        <w:rPr>
          <w:rFonts w:ascii="宋体" w:hAnsi="宋体" w:eastAsia="宋体"/>
          <w:snapToGrid w:val="0"/>
          <w:color w:val="auto"/>
          <w:sz w:val="21"/>
          <w:szCs w:val="21"/>
        </w:rPr>
        <w:t xml:space="preserve"> </w:t>
      </w:r>
    </w:p>
    <w:p w14:paraId="32ED48E9">
      <w:pPr>
        <w:pStyle w:val="324"/>
        <w:adjustRightInd w:val="0"/>
        <w:snapToGrid w:val="0"/>
        <w:spacing w:before="0" w:beforeAutospacing="0" w:after="0" w:afterAutospacing="0" w:line="360" w:lineRule="exact"/>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地址：深圳市福田区益田路7019号</w:t>
      </w:r>
    </w:p>
    <w:p w14:paraId="694D19DA">
      <w:pPr>
        <w:pStyle w:val="49"/>
        <w:widowControl/>
        <w:spacing w:line="360" w:lineRule="exact"/>
        <w:ind w:firstLine="424" w:firstLineChars="202"/>
        <w:rPr>
          <w:rFonts w:ascii="宋体" w:hAnsi="宋体"/>
          <w:sz w:val="21"/>
        </w:rPr>
      </w:pPr>
      <w:r>
        <w:rPr>
          <w:rFonts w:hint="eastAsia" w:ascii="宋体" w:hAnsi="宋体"/>
          <w:sz w:val="21"/>
        </w:rPr>
        <w:t>2、</w:t>
      </w:r>
      <w:r>
        <w:rPr>
          <w:rFonts w:ascii="宋体" w:hAnsi="宋体"/>
          <w:sz w:val="21"/>
        </w:rPr>
        <w:t xml:space="preserve">采购代理机构信息 </w:t>
      </w:r>
    </w:p>
    <w:p w14:paraId="1BB9140E">
      <w:pPr>
        <w:pStyle w:val="49"/>
        <w:widowControl/>
        <w:spacing w:line="360" w:lineRule="exact"/>
        <w:ind w:firstLine="424" w:firstLineChars="202"/>
        <w:rPr>
          <w:rFonts w:ascii="宋体" w:hAnsi="宋体"/>
          <w:sz w:val="21"/>
        </w:rPr>
      </w:pPr>
      <w:r>
        <w:rPr>
          <w:rFonts w:ascii="宋体" w:hAnsi="宋体"/>
          <w:sz w:val="21"/>
        </w:rPr>
        <w:t xml:space="preserve">名称：深圳市中正招标有限公司 </w:t>
      </w:r>
    </w:p>
    <w:p w14:paraId="1B69DAE1">
      <w:pPr>
        <w:pStyle w:val="49"/>
        <w:widowControl/>
        <w:spacing w:line="360" w:lineRule="exact"/>
        <w:ind w:firstLine="424" w:firstLineChars="202"/>
        <w:rPr>
          <w:rFonts w:ascii="宋体" w:hAnsi="宋体"/>
          <w:sz w:val="21"/>
        </w:rPr>
      </w:pPr>
      <w:r>
        <w:rPr>
          <w:rFonts w:ascii="宋体" w:hAnsi="宋体"/>
          <w:sz w:val="21"/>
        </w:rPr>
        <w:t>地址：深圳市福田区</w:t>
      </w:r>
      <w:r>
        <w:rPr>
          <w:rFonts w:hint="eastAsia" w:ascii="宋体" w:hAnsi="宋体"/>
          <w:sz w:val="21"/>
        </w:rPr>
        <w:t>民田路171号新华保险大厦903</w:t>
      </w:r>
    </w:p>
    <w:p w14:paraId="54630771">
      <w:pPr>
        <w:pStyle w:val="49"/>
        <w:widowControl/>
        <w:spacing w:line="360" w:lineRule="exact"/>
        <w:ind w:firstLine="424" w:firstLineChars="202"/>
        <w:rPr>
          <w:rFonts w:ascii="宋体" w:hAnsi="宋体"/>
          <w:sz w:val="21"/>
        </w:rPr>
      </w:pPr>
      <w:r>
        <w:rPr>
          <w:rFonts w:ascii="宋体" w:hAnsi="宋体"/>
          <w:sz w:val="21"/>
        </w:rPr>
        <w:t>联系方式：0755-83026699</w:t>
      </w:r>
    </w:p>
    <w:p w14:paraId="67404359">
      <w:pPr>
        <w:pStyle w:val="49"/>
        <w:widowControl/>
        <w:spacing w:line="360" w:lineRule="exact"/>
        <w:ind w:firstLine="424" w:firstLineChars="202"/>
        <w:rPr>
          <w:rFonts w:ascii="宋体" w:hAnsi="宋体"/>
          <w:sz w:val="21"/>
        </w:rPr>
      </w:pPr>
      <w:r>
        <w:rPr>
          <w:rFonts w:hint="eastAsia" w:ascii="宋体" w:hAnsi="宋体"/>
          <w:sz w:val="21"/>
        </w:rPr>
        <w:t>3、</w:t>
      </w:r>
      <w:r>
        <w:rPr>
          <w:rFonts w:ascii="宋体" w:hAnsi="宋体"/>
          <w:sz w:val="21"/>
        </w:rPr>
        <w:t xml:space="preserve">项目联系方式 </w:t>
      </w:r>
    </w:p>
    <w:p w14:paraId="7CE324F2">
      <w:pPr>
        <w:pStyle w:val="49"/>
        <w:widowControl/>
        <w:spacing w:line="360" w:lineRule="exact"/>
        <w:ind w:firstLine="424" w:firstLineChars="202"/>
        <w:rPr>
          <w:rFonts w:ascii="宋体" w:hAnsi="宋体"/>
          <w:sz w:val="21"/>
        </w:rPr>
      </w:pPr>
      <w:r>
        <w:rPr>
          <w:rFonts w:ascii="宋体" w:hAnsi="宋体"/>
          <w:sz w:val="21"/>
        </w:rPr>
        <w:t>项目联系人：</w:t>
      </w:r>
      <w:r>
        <w:rPr>
          <w:rFonts w:hint="eastAsia" w:ascii="宋体" w:hAnsi="宋体"/>
          <w:sz w:val="21"/>
        </w:rPr>
        <w:t>李先生</w:t>
      </w:r>
      <w:r>
        <w:rPr>
          <w:rFonts w:ascii="宋体" w:hAnsi="宋体"/>
          <w:sz w:val="21"/>
        </w:rPr>
        <w:t xml:space="preserve"> </w:t>
      </w:r>
    </w:p>
    <w:p w14:paraId="4C9337E1">
      <w:pPr>
        <w:widowControl/>
        <w:spacing w:line="360" w:lineRule="exact"/>
        <w:ind w:firstLine="424" w:firstLineChars="202"/>
        <w:rPr>
          <w:rFonts w:ascii="宋体" w:hAnsi="宋体"/>
        </w:rPr>
      </w:pPr>
      <w:r>
        <w:rPr>
          <w:rFonts w:ascii="宋体" w:hAnsi="宋体"/>
        </w:rPr>
        <w:t>电话：</w:t>
      </w:r>
      <w:r>
        <w:rPr>
          <w:rFonts w:hint="eastAsia" w:ascii="宋体" w:hAnsi="宋体"/>
        </w:rPr>
        <w:t>0755-83026699</w:t>
      </w:r>
    </w:p>
    <w:p w14:paraId="3EFBD295">
      <w:pPr>
        <w:pStyle w:val="49"/>
        <w:spacing w:line="360" w:lineRule="exact"/>
        <w:ind w:firstLine="484" w:firstLineChars="202"/>
        <w:jc w:val="right"/>
        <w:rPr>
          <w:rFonts w:asciiTheme="minorEastAsia" w:hAnsiTheme="minorEastAsia" w:eastAsiaTheme="minorEastAsia"/>
        </w:rPr>
      </w:pPr>
    </w:p>
    <w:p w14:paraId="365B9AF1">
      <w:pPr>
        <w:pStyle w:val="49"/>
        <w:spacing w:line="360" w:lineRule="exact"/>
        <w:ind w:firstLine="484" w:firstLineChars="202"/>
        <w:jc w:val="right"/>
        <w:rPr>
          <w:rFonts w:asciiTheme="minorEastAsia" w:hAnsiTheme="minorEastAsia" w:eastAsiaTheme="minorEastAsia"/>
        </w:rPr>
      </w:pPr>
      <w:r>
        <w:rPr>
          <w:rFonts w:hint="eastAsia" w:asciiTheme="minorEastAsia" w:hAnsiTheme="minorEastAsia" w:eastAsiaTheme="minorEastAsia"/>
        </w:rPr>
        <w:t>深圳市中正招标有限公司</w:t>
      </w:r>
    </w:p>
    <w:p w14:paraId="2ED75386">
      <w:pPr>
        <w:pStyle w:val="49"/>
        <w:spacing w:line="360" w:lineRule="exact"/>
        <w:ind w:firstLine="484" w:firstLineChars="202"/>
        <w:jc w:val="right"/>
      </w:pPr>
      <w:r>
        <w:rPr>
          <w:rFonts w:hint="eastAsia" w:asciiTheme="minorEastAsia" w:hAnsiTheme="minorEastAsia" w:eastAsiaTheme="minorEastAsia"/>
        </w:rPr>
        <w:t>2024年</w:t>
      </w:r>
      <w:r>
        <w:rPr>
          <w:rFonts w:hint="eastAsia" w:asciiTheme="minorEastAsia" w:hAnsiTheme="minorEastAsia" w:eastAsiaTheme="minorEastAsia"/>
          <w:lang w:val="en-US" w:eastAsia="zh-CN"/>
        </w:rPr>
        <w:t>10</w:t>
      </w:r>
      <w:r>
        <w:rPr>
          <w:rFonts w:hint="eastAsia" w:asciiTheme="minorEastAsia" w:hAnsiTheme="minorEastAsia" w:eastAsiaTheme="minorEastAsia"/>
        </w:rPr>
        <w:t>月</w:t>
      </w:r>
      <w:r>
        <w:rPr>
          <w:rFonts w:hint="eastAsia" w:asciiTheme="minorEastAsia" w:hAnsiTheme="minorEastAsia" w:eastAsiaTheme="minorEastAsia"/>
          <w:lang w:val="en-US" w:eastAsia="zh-CN"/>
        </w:rPr>
        <w:t>11</w:t>
      </w:r>
      <w:r>
        <w:rPr>
          <w:rFonts w:hint="eastAsia" w:asciiTheme="minorEastAsia" w:hAnsiTheme="minorEastAsia" w:eastAsiaTheme="minorEastAsia"/>
        </w:rPr>
        <w:t>日</w:t>
      </w:r>
    </w:p>
    <w:p w14:paraId="3B6C07A3">
      <w:pPr>
        <w:widowControl/>
        <w:jc w:val="left"/>
        <w:rPr>
          <w:sz w:val="24"/>
        </w:rPr>
      </w:pPr>
      <w:r>
        <w:rPr>
          <w:b/>
          <w:bCs/>
        </w:rPr>
        <w:br w:type="page"/>
      </w:r>
    </w:p>
    <w:p w14:paraId="3086DF49">
      <w:pPr>
        <w:pStyle w:val="5"/>
      </w:pPr>
      <w:r>
        <w:rPr>
          <w:rFonts w:hint="eastAsia"/>
          <w:b/>
          <w:bCs/>
        </w:rPr>
        <w:t>第二章  招标项目需求</w:t>
      </w:r>
    </w:p>
    <w:p w14:paraId="3BA99396">
      <w:pPr>
        <w:spacing w:line="360" w:lineRule="exact"/>
        <w:rPr>
          <w:b/>
        </w:rPr>
      </w:pPr>
      <w:bookmarkStart w:id="2" w:name="_Toc100052364"/>
      <w:bookmarkStart w:id="3" w:name="_Toc73521635"/>
      <w:bookmarkStart w:id="4" w:name="_Toc60631620"/>
      <w:bookmarkStart w:id="5" w:name="_Toc73521547"/>
      <w:bookmarkStart w:id="6" w:name="_Toc73517639"/>
      <w:bookmarkStart w:id="7" w:name="_Toc101074876"/>
      <w:bookmarkStart w:id="8" w:name="_Toc73518117"/>
      <w:bookmarkStart w:id="9" w:name="_Toc60560625"/>
    </w:p>
    <w:p w14:paraId="1F3A0DE2">
      <w:pPr>
        <w:pStyle w:val="5"/>
        <w:spacing w:before="120" w:beforeLines="50" w:after="120" w:afterLines="50"/>
        <w:rPr>
          <w:sz w:val="28"/>
          <w:szCs w:val="28"/>
        </w:rPr>
      </w:pPr>
      <w:r>
        <w:rPr>
          <w:rFonts w:hint="eastAsia"/>
          <w:sz w:val="28"/>
          <w:szCs w:val="28"/>
        </w:rPr>
        <w:t>一、对通用条款的补充内容</w:t>
      </w:r>
    </w:p>
    <w:bookmarkEnd w:id="2"/>
    <w:bookmarkEnd w:id="3"/>
    <w:bookmarkEnd w:id="4"/>
    <w:bookmarkEnd w:id="5"/>
    <w:bookmarkEnd w:id="6"/>
    <w:bookmarkEnd w:id="7"/>
    <w:bookmarkEnd w:id="8"/>
    <w:bookmarkEnd w:id="9"/>
    <w:tbl>
      <w:tblPr>
        <w:tblStyle w:val="55"/>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14:paraId="1CECF0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29AFA5ED">
            <w:pPr>
              <w:spacing w:line="360" w:lineRule="exact"/>
              <w:jc w:val="center"/>
              <w:rPr>
                <w:rFonts w:ascii="宋体" w:hAnsi="宋体"/>
                <w:b/>
                <w:bCs/>
              </w:rPr>
            </w:pPr>
            <w:r>
              <w:rPr>
                <w:rFonts w:hint="eastAsia" w:ascii="宋体" w:hAnsi="宋体"/>
                <w:b/>
                <w:bCs/>
              </w:rPr>
              <w:t>序号</w:t>
            </w:r>
          </w:p>
        </w:tc>
        <w:tc>
          <w:tcPr>
            <w:tcW w:w="2160" w:type="dxa"/>
            <w:vAlign w:val="center"/>
          </w:tcPr>
          <w:p w14:paraId="2A6F4A92">
            <w:pPr>
              <w:spacing w:line="360" w:lineRule="exact"/>
              <w:jc w:val="center"/>
              <w:rPr>
                <w:rFonts w:ascii="宋体" w:hAnsi="宋体"/>
                <w:b/>
                <w:bCs/>
              </w:rPr>
            </w:pPr>
            <w:r>
              <w:rPr>
                <w:rFonts w:hint="eastAsia" w:ascii="宋体" w:hAnsi="宋体"/>
                <w:b/>
                <w:bCs/>
              </w:rPr>
              <w:t>内   容</w:t>
            </w:r>
          </w:p>
        </w:tc>
        <w:tc>
          <w:tcPr>
            <w:tcW w:w="5400" w:type="dxa"/>
            <w:vAlign w:val="center"/>
          </w:tcPr>
          <w:p w14:paraId="1BC9460C">
            <w:pPr>
              <w:spacing w:line="360" w:lineRule="exact"/>
              <w:jc w:val="center"/>
              <w:rPr>
                <w:rFonts w:ascii="宋体" w:hAnsi="宋体"/>
                <w:b/>
                <w:bCs/>
              </w:rPr>
            </w:pPr>
            <w:r>
              <w:rPr>
                <w:rFonts w:hint="eastAsia" w:ascii="宋体" w:hAnsi="宋体"/>
                <w:b/>
                <w:bCs/>
              </w:rPr>
              <w:t>规      定</w:t>
            </w:r>
          </w:p>
        </w:tc>
      </w:tr>
      <w:tr w14:paraId="77A3A3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269B29F4">
            <w:pPr>
              <w:spacing w:line="360" w:lineRule="exact"/>
              <w:jc w:val="center"/>
              <w:rPr>
                <w:rFonts w:ascii="宋体" w:hAnsi="宋体"/>
              </w:rPr>
            </w:pPr>
            <w:r>
              <w:rPr>
                <w:rFonts w:hint="eastAsia" w:ascii="宋体" w:hAnsi="宋体"/>
              </w:rPr>
              <w:t>1</w:t>
            </w:r>
          </w:p>
        </w:tc>
        <w:tc>
          <w:tcPr>
            <w:tcW w:w="2160" w:type="dxa"/>
            <w:vAlign w:val="center"/>
          </w:tcPr>
          <w:p w14:paraId="1957EADB">
            <w:pPr>
              <w:spacing w:line="360" w:lineRule="exact"/>
              <w:jc w:val="center"/>
            </w:pPr>
            <w:r>
              <w:rPr>
                <w:rFonts w:hint="eastAsia"/>
              </w:rPr>
              <w:t>联合体投标</w:t>
            </w:r>
          </w:p>
        </w:tc>
        <w:tc>
          <w:tcPr>
            <w:tcW w:w="5400" w:type="dxa"/>
            <w:vAlign w:val="center"/>
          </w:tcPr>
          <w:p w14:paraId="0969A84F">
            <w:pPr>
              <w:spacing w:line="360" w:lineRule="exact"/>
              <w:rPr>
                <w:rFonts w:ascii="宋体" w:hAnsi="宋体"/>
                <w:snapToGrid w:val="0"/>
                <w:kern w:val="0"/>
                <w:szCs w:val="32"/>
                <w:lang w:val="zh-CN"/>
              </w:rPr>
            </w:pPr>
            <w:r>
              <w:rPr>
                <w:rFonts w:hint="eastAsia" w:ascii="宋体" w:hAnsi="宋体"/>
                <w:snapToGrid w:val="0"/>
                <w:kern w:val="0"/>
                <w:szCs w:val="32"/>
                <w:lang w:val="zh-CN"/>
              </w:rPr>
              <w:t>见《招标公告》中“项目基本情况”部分的相关内容</w:t>
            </w:r>
          </w:p>
        </w:tc>
      </w:tr>
      <w:tr w14:paraId="777AB3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528FE626">
            <w:pPr>
              <w:spacing w:line="360" w:lineRule="exact"/>
              <w:jc w:val="center"/>
              <w:rPr>
                <w:rFonts w:ascii="宋体" w:hAnsi="宋体"/>
              </w:rPr>
            </w:pPr>
            <w:r>
              <w:rPr>
                <w:rFonts w:hint="eastAsia" w:ascii="宋体" w:hAnsi="宋体"/>
              </w:rPr>
              <w:t>2</w:t>
            </w:r>
          </w:p>
        </w:tc>
        <w:tc>
          <w:tcPr>
            <w:tcW w:w="2160" w:type="dxa"/>
            <w:vAlign w:val="center"/>
          </w:tcPr>
          <w:p w14:paraId="120D23E4">
            <w:pPr>
              <w:spacing w:line="360" w:lineRule="exact"/>
              <w:jc w:val="center"/>
              <w:rPr>
                <w:rFonts w:ascii="宋体" w:hAnsi="宋体"/>
              </w:rPr>
            </w:pPr>
            <w:r>
              <w:rPr>
                <w:rFonts w:hint="eastAsia" w:ascii="宋体" w:hAnsi="宋体"/>
              </w:rPr>
              <w:t>投标有效期</w:t>
            </w:r>
          </w:p>
        </w:tc>
        <w:tc>
          <w:tcPr>
            <w:tcW w:w="5400" w:type="dxa"/>
            <w:vAlign w:val="center"/>
          </w:tcPr>
          <w:p w14:paraId="7783616D">
            <w:pPr>
              <w:spacing w:line="360" w:lineRule="exact"/>
              <w:rPr>
                <w:rFonts w:ascii="宋体" w:hAnsi="宋体"/>
              </w:rPr>
            </w:pPr>
            <w:r>
              <w:rPr>
                <w:rFonts w:hint="eastAsia" w:ascii="宋体" w:hAnsi="宋体"/>
                <w:u w:val="single"/>
              </w:rPr>
              <w:t>90</w:t>
            </w:r>
            <w:r>
              <w:rPr>
                <w:rFonts w:ascii="宋体" w:hAnsi="宋体"/>
                <w:u w:val="single"/>
              </w:rPr>
              <w:t>日历天</w:t>
            </w:r>
            <w:r>
              <w:rPr>
                <w:rFonts w:ascii="宋体" w:hAnsi="宋体"/>
              </w:rPr>
              <w:t>（从投标截止之日算起）</w:t>
            </w:r>
          </w:p>
        </w:tc>
      </w:tr>
      <w:tr w14:paraId="25928A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70666089">
            <w:pPr>
              <w:spacing w:line="360" w:lineRule="exact"/>
              <w:jc w:val="center"/>
              <w:rPr>
                <w:rFonts w:ascii="宋体" w:hAnsi="宋体"/>
              </w:rPr>
            </w:pPr>
            <w:r>
              <w:rPr>
                <w:rFonts w:hint="eastAsia" w:ascii="宋体" w:hAnsi="宋体"/>
              </w:rPr>
              <w:t>3</w:t>
            </w:r>
          </w:p>
        </w:tc>
        <w:tc>
          <w:tcPr>
            <w:tcW w:w="2160" w:type="dxa"/>
            <w:vAlign w:val="center"/>
          </w:tcPr>
          <w:p w14:paraId="045478FB">
            <w:pPr>
              <w:spacing w:line="360" w:lineRule="exact"/>
              <w:jc w:val="center"/>
              <w:rPr>
                <w:rFonts w:ascii="宋体" w:hAnsi="宋体"/>
              </w:rPr>
            </w:pPr>
            <w:r>
              <w:rPr>
                <w:rFonts w:hint="eastAsia" w:ascii="宋体" w:hAnsi="宋体"/>
              </w:rPr>
              <w:t>投标人的替代方案</w:t>
            </w:r>
          </w:p>
        </w:tc>
        <w:tc>
          <w:tcPr>
            <w:tcW w:w="5400" w:type="dxa"/>
            <w:vAlign w:val="center"/>
          </w:tcPr>
          <w:p w14:paraId="418EFF0F">
            <w:pPr>
              <w:spacing w:line="360" w:lineRule="exact"/>
              <w:rPr>
                <w:rFonts w:ascii="宋体" w:hAnsi="宋体"/>
              </w:rPr>
            </w:pPr>
            <w:r>
              <w:rPr>
                <w:rFonts w:hint="eastAsia" w:ascii="宋体" w:hAnsi="宋体"/>
              </w:rPr>
              <w:t>不允许</w:t>
            </w:r>
          </w:p>
        </w:tc>
      </w:tr>
      <w:tr w14:paraId="548937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10" w:hRule="atLeast"/>
          <w:jc w:val="center"/>
        </w:trPr>
        <w:tc>
          <w:tcPr>
            <w:tcW w:w="807" w:type="dxa"/>
            <w:vAlign w:val="center"/>
          </w:tcPr>
          <w:p w14:paraId="74DDB579">
            <w:pPr>
              <w:spacing w:line="360" w:lineRule="exact"/>
              <w:jc w:val="center"/>
              <w:rPr>
                <w:rFonts w:ascii="宋体" w:hAnsi="宋体"/>
              </w:rPr>
            </w:pPr>
            <w:r>
              <w:rPr>
                <w:rFonts w:hint="eastAsia" w:ascii="宋体" w:hAnsi="宋体"/>
              </w:rPr>
              <w:t>4</w:t>
            </w:r>
          </w:p>
        </w:tc>
        <w:tc>
          <w:tcPr>
            <w:tcW w:w="2160" w:type="dxa"/>
            <w:vAlign w:val="center"/>
          </w:tcPr>
          <w:p w14:paraId="319731AF">
            <w:pPr>
              <w:spacing w:line="360" w:lineRule="exact"/>
              <w:jc w:val="center"/>
              <w:rPr>
                <w:rFonts w:ascii="宋体" w:hAnsi="宋体"/>
              </w:rPr>
            </w:pPr>
            <w:r>
              <w:rPr>
                <w:rFonts w:hint="eastAsia" w:ascii="宋体" w:hAnsi="宋体"/>
              </w:rPr>
              <w:t>投标文件的投递</w:t>
            </w:r>
          </w:p>
        </w:tc>
        <w:tc>
          <w:tcPr>
            <w:tcW w:w="5400" w:type="dxa"/>
            <w:vAlign w:val="center"/>
          </w:tcPr>
          <w:p w14:paraId="22C8B415">
            <w:pPr>
              <w:spacing w:line="360" w:lineRule="exact"/>
              <w:rPr>
                <w:rFonts w:ascii="宋体" w:hAnsi="宋体"/>
              </w:rPr>
            </w:pPr>
            <w:r>
              <w:rPr>
                <w:rFonts w:hint="eastAsia" w:ascii="宋体" w:hAnsi="宋体"/>
              </w:rPr>
              <w:t>本项目实行网上投标，投标人必须在招标文件规定的投标截止时间前登录“深圳政府采购智慧平台用户网上办事子系统”，使用“【我的项目】→【项目流程】→【递交投标(应答)文件】</w:t>
            </w:r>
            <w:r>
              <w:rPr>
                <w:rFonts w:ascii="宋体" w:hAnsi="宋体"/>
              </w:rPr>
              <w:t>”功能</w:t>
            </w:r>
            <w:r>
              <w:rPr>
                <w:rFonts w:hint="eastAsia" w:ascii="宋体" w:hAnsi="宋体"/>
              </w:rPr>
              <w:t>点，</w:t>
            </w:r>
            <w:r>
              <w:rPr>
                <w:rFonts w:ascii="宋体" w:hAnsi="宋体"/>
              </w:rPr>
              <w:t>将编制好的电子投标文件上传，投标文件大小不得超过</w:t>
            </w:r>
            <w:r>
              <w:rPr>
                <w:rFonts w:hint="eastAsia" w:ascii="宋体" w:hAnsi="宋体"/>
              </w:rPr>
              <w:t>20</w:t>
            </w:r>
            <w:r>
              <w:rPr>
                <w:rFonts w:ascii="宋体" w:hAnsi="宋体"/>
              </w:rPr>
              <w:t>0MB</w:t>
            </w:r>
            <w:r>
              <w:rPr>
                <w:rFonts w:hint="eastAsia" w:ascii="宋体" w:hAnsi="宋体" w:cs="宋体"/>
                <w:szCs w:val="21"/>
              </w:rPr>
              <w:t>，单个节点文件不能超过</w:t>
            </w:r>
            <w:r>
              <w:rPr>
                <w:rFonts w:ascii="宋体" w:hAnsi="宋体" w:cs="宋体"/>
                <w:szCs w:val="21"/>
              </w:rPr>
              <w:t>50M</w:t>
            </w:r>
            <w:r>
              <w:rPr>
                <w:rFonts w:hint="eastAsia" w:ascii="宋体" w:hAnsi="宋体" w:cs="宋体"/>
                <w:szCs w:val="21"/>
              </w:rPr>
              <w:t>B</w:t>
            </w:r>
            <w:r>
              <w:rPr>
                <w:rFonts w:hint="eastAsia" w:ascii="宋体" w:hAnsi="宋体"/>
              </w:rPr>
              <w:t>。</w:t>
            </w:r>
          </w:p>
        </w:tc>
      </w:tr>
      <w:tr w14:paraId="3E5945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jc w:val="center"/>
        </w:trPr>
        <w:tc>
          <w:tcPr>
            <w:tcW w:w="807" w:type="dxa"/>
            <w:vAlign w:val="center"/>
          </w:tcPr>
          <w:p w14:paraId="74D2DE8B">
            <w:pPr>
              <w:jc w:val="center"/>
              <w:rPr>
                <w:rFonts w:ascii="宋体" w:hAnsi="宋体"/>
              </w:rPr>
            </w:pPr>
            <w:r>
              <w:rPr>
                <w:rFonts w:hint="eastAsia" w:ascii="宋体" w:hAnsi="宋体"/>
              </w:rPr>
              <w:t>5</w:t>
            </w:r>
          </w:p>
        </w:tc>
        <w:tc>
          <w:tcPr>
            <w:tcW w:w="2160" w:type="dxa"/>
            <w:vAlign w:val="center"/>
          </w:tcPr>
          <w:p w14:paraId="5D52BAC9">
            <w:pPr>
              <w:jc w:val="center"/>
              <w:rPr>
                <w:rFonts w:ascii="宋体" w:hAnsi="宋体"/>
              </w:rPr>
            </w:pPr>
            <w:r>
              <w:rPr>
                <w:rFonts w:hint="eastAsia" w:ascii="宋体" w:hAnsi="宋体"/>
              </w:rPr>
              <w:t>中标服务费</w:t>
            </w:r>
          </w:p>
        </w:tc>
        <w:tc>
          <w:tcPr>
            <w:tcW w:w="5400" w:type="dxa"/>
            <w:vAlign w:val="center"/>
          </w:tcPr>
          <w:p w14:paraId="41A3915D">
            <w:pPr>
              <w:spacing w:line="360" w:lineRule="exact"/>
              <w:rPr>
                <w:rFonts w:ascii="宋体" w:hAnsi="宋体"/>
                <w:szCs w:val="21"/>
              </w:rPr>
            </w:pPr>
            <w:r>
              <w:rPr>
                <w:rFonts w:hint="eastAsia" w:ascii="宋体" w:hAnsi="宋体"/>
                <w:szCs w:val="21"/>
              </w:rPr>
              <w:t>按深财购[2018]27号文件规定的代理费用参考标准，向中标供应商收取中标服务费，具体如下：</w:t>
            </w:r>
          </w:p>
          <w:p w14:paraId="574DE756">
            <w:pPr>
              <w:spacing w:line="360" w:lineRule="exact"/>
              <w:rPr>
                <w:rFonts w:ascii="宋体" w:hAnsi="宋体"/>
                <w:szCs w:val="20"/>
              </w:rPr>
            </w:pPr>
            <w:r>
              <w:rPr>
                <w:rFonts w:hint="eastAsia" w:ascii="宋体" w:hAnsi="宋体" w:eastAsia="MS Mincho" w:cs="MS Mincho"/>
                <w:sz w:val="24"/>
              </w:rPr>
              <w:t>☑</w:t>
            </w:r>
            <w:r>
              <w:rPr>
                <w:rFonts w:hint="eastAsia" w:ascii="宋体" w:hAnsi="宋体"/>
                <w:szCs w:val="21"/>
              </w:rPr>
              <w:t>以中标金额作为计算依据</w:t>
            </w:r>
            <w:r>
              <w:rPr>
                <w:rFonts w:hint="eastAsia" w:ascii="宋体" w:hAnsi="宋体"/>
                <w:szCs w:val="20"/>
              </w:rPr>
              <w:t>，费用下浮</w:t>
            </w:r>
            <w:r>
              <w:rPr>
                <w:rFonts w:hint="eastAsia" w:ascii="宋体" w:hAnsi="宋体"/>
                <w:szCs w:val="20"/>
                <w:u w:val="single"/>
              </w:rPr>
              <w:t xml:space="preserve">  10  </w:t>
            </w:r>
            <w:r>
              <w:rPr>
                <w:rFonts w:hint="eastAsia" w:ascii="宋体" w:hAnsi="宋体"/>
                <w:szCs w:val="20"/>
              </w:rPr>
              <w:t>%，最低收取人民币4500元。</w:t>
            </w:r>
          </w:p>
          <w:p w14:paraId="500C615F">
            <w:pPr>
              <w:spacing w:line="360" w:lineRule="exact"/>
              <w:rPr>
                <w:rFonts w:ascii="宋体" w:hAnsi="宋体"/>
              </w:rPr>
            </w:pPr>
            <w:r>
              <w:rPr>
                <w:rFonts w:hint="eastAsia" w:hAnsi="宋体"/>
              </w:rPr>
              <w:t>□</w:t>
            </w:r>
            <w:r>
              <w:rPr>
                <w:rFonts w:hint="eastAsia" w:ascii="宋体" w:hAnsi="宋体"/>
                <w:szCs w:val="21"/>
              </w:rPr>
              <w:t>以预算金额（支付上限）作为计算依据</w:t>
            </w:r>
            <w:r>
              <w:rPr>
                <w:rFonts w:hint="eastAsia" w:ascii="宋体" w:hAnsi="宋体"/>
              </w:rPr>
              <w:t>，费用下浮</w:t>
            </w:r>
            <w:r>
              <w:rPr>
                <w:rFonts w:hint="eastAsia" w:ascii="宋体" w:hAnsi="宋体"/>
                <w:u w:val="single"/>
              </w:rPr>
              <w:t xml:space="preserve">  0  </w:t>
            </w:r>
            <w:r>
              <w:rPr>
                <w:rFonts w:hint="eastAsia" w:ascii="宋体" w:hAnsi="宋体"/>
              </w:rPr>
              <w:t>%，收取中标服务费：人民币</w:t>
            </w:r>
            <w:r>
              <w:rPr>
                <w:rFonts w:hint="eastAsia" w:ascii="宋体" w:hAnsi="宋体"/>
                <w:u w:val="single"/>
              </w:rPr>
              <w:t xml:space="preserve">        </w:t>
            </w:r>
            <w:r>
              <w:rPr>
                <w:rFonts w:hint="eastAsia" w:ascii="宋体" w:hAnsi="宋体"/>
              </w:rPr>
              <w:t>元。</w:t>
            </w:r>
          </w:p>
        </w:tc>
      </w:tr>
      <w:tr w14:paraId="3483CD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807" w:type="dxa"/>
            <w:vAlign w:val="center"/>
          </w:tcPr>
          <w:p w14:paraId="16CB861F">
            <w:pPr>
              <w:jc w:val="center"/>
              <w:rPr>
                <w:rFonts w:ascii="宋体" w:hAnsi="宋体"/>
              </w:rPr>
            </w:pPr>
            <w:r>
              <w:rPr>
                <w:rFonts w:hint="eastAsia" w:ascii="宋体" w:hAnsi="宋体"/>
              </w:rPr>
              <w:t>6</w:t>
            </w:r>
          </w:p>
        </w:tc>
        <w:tc>
          <w:tcPr>
            <w:tcW w:w="2160" w:type="dxa"/>
            <w:vAlign w:val="center"/>
          </w:tcPr>
          <w:p w14:paraId="1452D285">
            <w:pPr>
              <w:jc w:val="center"/>
              <w:rPr>
                <w:rFonts w:ascii="宋体" w:hAnsi="宋体"/>
              </w:rPr>
            </w:pPr>
            <w:r>
              <w:rPr>
                <w:rFonts w:hint="eastAsia" w:ascii="宋体" w:hAnsi="宋体"/>
              </w:rPr>
              <w:t>履约保证金</w:t>
            </w:r>
          </w:p>
        </w:tc>
        <w:tc>
          <w:tcPr>
            <w:tcW w:w="5400" w:type="dxa"/>
            <w:vAlign w:val="center"/>
          </w:tcPr>
          <w:p w14:paraId="24BD5664">
            <w:pPr>
              <w:spacing w:line="360" w:lineRule="exact"/>
              <w:rPr>
                <w:rFonts w:ascii="宋体" w:hAnsi="宋体"/>
              </w:rPr>
            </w:pPr>
            <w:r>
              <w:rPr>
                <w:rFonts w:hint="eastAsia" w:ascii="宋体" w:hAnsi="宋体" w:cs="MS Mincho"/>
                <w:sz w:val="24"/>
              </w:rPr>
              <w:t>☑</w:t>
            </w:r>
            <w:r>
              <w:rPr>
                <w:rFonts w:hint="eastAsia" w:ascii="宋体" w:hAnsi="宋体"/>
              </w:rPr>
              <w:t>本项目不收取履约保证金。</w:t>
            </w:r>
          </w:p>
        </w:tc>
      </w:tr>
    </w:tbl>
    <w:p w14:paraId="2D340477">
      <w:pPr>
        <w:spacing w:line="360" w:lineRule="exact"/>
        <w:rPr>
          <w:szCs w:val="21"/>
        </w:rPr>
      </w:pPr>
      <w:r>
        <w:rPr>
          <w:rFonts w:hint="eastAsia"/>
          <w:szCs w:val="21"/>
        </w:rPr>
        <w:t>备注：本表为通用条款相关内容的补充和明确，如与通用条款相冲突的以本表为准。</w:t>
      </w:r>
    </w:p>
    <w:bookmarkEnd w:id="0"/>
    <w:p w14:paraId="7D719E10">
      <w:pPr>
        <w:spacing w:line="360" w:lineRule="exact"/>
        <w:rPr>
          <w:b/>
        </w:rPr>
      </w:pPr>
    </w:p>
    <w:p w14:paraId="74735F44">
      <w:pPr>
        <w:pStyle w:val="5"/>
        <w:spacing w:before="120" w:beforeLines="50" w:after="120" w:afterLines="50"/>
      </w:pPr>
      <w:r>
        <w:rPr>
          <w:rFonts w:hint="eastAsia"/>
          <w:sz w:val="28"/>
          <w:szCs w:val="28"/>
        </w:rPr>
        <w:t>二、实质性条款</w:t>
      </w:r>
    </w:p>
    <w:tbl>
      <w:tblPr>
        <w:tblStyle w:val="55"/>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486"/>
      </w:tblGrid>
      <w:tr w14:paraId="67E5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3F99B009">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486" w:type="dxa"/>
            <w:vAlign w:val="center"/>
          </w:tcPr>
          <w:p w14:paraId="524DF256">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具体内容</w:t>
            </w:r>
          </w:p>
        </w:tc>
      </w:tr>
      <w:tr w14:paraId="568D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17700940">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486" w:type="dxa"/>
            <w:vAlign w:val="center"/>
          </w:tcPr>
          <w:p w14:paraId="11BD4CE1">
            <w:pPr>
              <w:adjustRightInd w:val="0"/>
              <w:snapToGrid w:val="0"/>
              <w:spacing w:line="360" w:lineRule="auto"/>
              <w:jc w:val="both"/>
              <w:rPr>
                <w:rFonts w:hint="eastAsia" w:ascii="宋体" w:hAnsi="宋体" w:eastAsia="宋体" w:cs="宋体"/>
                <w:kern w:val="0"/>
                <w:sz w:val="21"/>
                <w:szCs w:val="21"/>
              </w:rPr>
            </w:pPr>
            <w:r>
              <w:rPr>
                <w:rFonts w:hint="eastAsia" w:ascii="宋体" w:hAnsi="宋体" w:eastAsia="宋体" w:cs="宋体"/>
                <w:sz w:val="21"/>
                <w:szCs w:val="21"/>
              </w:rPr>
              <w:t>项目工期要求: 合同签订后</w:t>
            </w:r>
            <w:r>
              <w:rPr>
                <w:rFonts w:hint="eastAsia" w:ascii="宋体" w:hAnsi="宋体" w:eastAsia="宋体" w:cs="宋体"/>
                <w:sz w:val="21"/>
                <w:szCs w:val="21"/>
                <w:lang w:val="en-US" w:eastAsia="zh-CN"/>
              </w:rPr>
              <w:t>90</w:t>
            </w:r>
            <w:r>
              <w:rPr>
                <w:rFonts w:hint="eastAsia" w:ascii="宋体" w:hAnsi="宋体" w:eastAsia="宋体" w:cs="宋体"/>
                <w:sz w:val="21"/>
                <w:szCs w:val="21"/>
              </w:rPr>
              <w:t>个日历天内。</w:t>
            </w:r>
          </w:p>
        </w:tc>
      </w:tr>
      <w:tr w14:paraId="0CB6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1E40E57E">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486" w:type="dxa"/>
            <w:vAlign w:val="center"/>
          </w:tcPr>
          <w:p w14:paraId="0F58E621">
            <w:pPr>
              <w:spacing w:line="400" w:lineRule="exact"/>
              <w:ind w:right="-145" w:rightChars="-69"/>
              <w:jc w:val="both"/>
              <w:rPr>
                <w:rFonts w:hint="eastAsia" w:ascii="宋体" w:hAnsi="宋体" w:eastAsia="宋体" w:cs="宋体"/>
                <w:bCs/>
                <w:sz w:val="21"/>
                <w:szCs w:val="21"/>
              </w:rPr>
            </w:pPr>
            <w:r>
              <w:rPr>
                <w:rFonts w:hint="eastAsia" w:ascii="宋体" w:hAnsi="宋体" w:eastAsia="宋体" w:cs="宋体"/>
                <w:bCs/>
                <w:sz w:val="21"/>
                <w:szCs w:val="21"/>
              </w:rPr>
              <w:t>投标报价包含不可竞争费用：施工单位现场安全文明施工措施费：27,117.26元；投标人报价应包含此部分费用且不可变动，否则视为投标无效。</w:t>
            </w:r>
          </w:p>
        </w:tc>
      </w:tr>
      <w:tr w14:paraId="36E0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3BA7BD95">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486" w:type="dxa"/>
            <w:vAlign w:val="center"/>
          </w:tcPr>
          <w:p w14:paraId="53B3369F">
            <w:pPr>
              <w:spacing w:line="400" w:lineRule="exact"/>
              <w:ind w:right="-145" w:rightChars="-69"/>
              <w:jc w:val="both"/>
              <w:rPr>
                <w:rFonts w:hint="eastAsia" w:ascii="宋体" w:hAnsi="宋体" w:eastAsia="宋体" w:cs="宋体"/>
                <w:bCs/>
                <w:sz w:val="21"/>
                <w:szCs w:val="21"/>
              </w:rPr>
            </w:pPr>
            <w:r>
              <w:rPr>
                <w:rFonts w:hint="eastAsia" w:ascii="宋体" w:hAnsi="宋体" w:eastAsia="宋体" w:cs="宋体"/>
                <w:bCs/>
                <w:sz w:val="21"/>
                <w:szCs w:val="21"/>
              </w:rPr>
              <w:t>本项目预算金额为：</w:t>
            </w:r>
            <w:r>
              <w:rPr>
                <w:rFonts w:hint="eastAsia" w:ascii="宋体" w:hAnsi="宋体" w:cs="宋体"/>
                <w:bCs/>
                <w:color w:val="auto"/>
                <w:sz w:val="21"/>
                <w:szCs w:val="21"/>
                <w:highlight w:val="none"/>
                <w:lang w:eastAsia="zh-CN"/>
              </w:rPr>
              <w:t>1,450,000.00</w:t>
            </w:r>
            <w:r>
              <w:rPr>
                <w:rFonts w:hint="eastAsia" w:ascii="宋体" w:hAnsi="宋体" w:eastAsia="宋体" w:cs="宋体"/>
                <w:bCs/>
                <w:sz w:val="21"/>
                <w:szCs w:val="21"/>
              </w:rPr>
              <w:t>元。投标人报价不允许超过项目预算金额，否则视为无效报价。</w:t>
            </w:r>
          </w:p>
        </w:tc>
      </w:tr>
      <w:tr w14:paraId="14F6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24" w:type="dxa"/>
            <w:vAlign w:val="center"/>
          </w:tcPr>
          <w:p w14:paraId="04C1B65E">
            <w:pPr>
              <w:adjustRightInd w:val="0"/>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8486" w:type="dxa"/>
            <w:vAlign w:val="center"/>
          </w:tcPr>
          <w:p w14:paraId="4D073E7E">
            <w:pPr>
              <w:spacing w:line="400" w:lineRule="exact"/>
              <w:ind w:right="-145" w:rightChars="-69"/>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本项目防水保修期为5年，装修保修期为2年，其他保修期为3年（含提供的所有设备），免费保修期内中标人提供免费上门质保服务，时间自通过采购人及使用单位验收并移交完整竣工资料之日起计算</w:t>
            </w:r>
            <w:r>
              <w:rPr>
                <w:rFonts w:hint="eastAsia" w:ascii="宋体" w:hAnsi="宋体" w:eastAsia="宋体" w:cs="宋体"/>
                <w:color w:val="auto"/>
                <w:kern w:val="0"/>
                <w:sz w:val="21"/>
                <w:szCs w:val="21"/>
                <w:highlight w:val="none"/>
                <w:lang w:eastAsia="zh-CN"/>
              </w:rPr>
              <w:t>。</w:t>
            </w:r>
          </w:p>
        </w:tc>
      </w:tr>
      <w:tr w14:paraId="5A91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09B57817">
            <w:pPr>
              <w:adjustRightInd w:val="0"/>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8486" w:type="dxa"/>
            <w:vAlign w:val="center"/>
          </w:tcPr>
          <w:p w14:paraId="4CB1AA25">
            <w:pPr>
              <w:spacing w:line="400" w:lineRule="exact"/>
              <w:ind w:right="-145" w:rightChars="-69"/>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货物运输及项目实施过程中所产生的一切风险，包括但不限于项目工作人员的人身安全事故、意外伤害事故、施工过程中致采购人、中标人及第三方人员的人身财产损害等，皆由中标人承担，皆由中标人负责解决。若由此导致采购人承担了相关法律责任或经济赔偿责任，中标人应给予采购人全部的补偿，并承担采购人为解决此类纠纷过程中所产生的实际费用</w:t>
            </w:r>
            <w:r>
              <w:rPr>
                <w:rFonts w:hint="eastAsia" w:ascii="宋体" w:hAnsi="宋体" w:eastAsia="宋体" w:cs="宋体"/>
                <w:color w:val="auto"/>
                <w:kern w:val="0"/>
                <w:sz w:val="21"/>
                <w:szCs w:val="21"/>
                <w:highlight w:val="none"/>
                <w:lang w:eastAsia="zh-CN"/>
              </w:rPr>
              <w:t>。</w:t>
            </w:r>
          </w:p>
        </w:tc>
      </w:tr>
      <w:tr w14:paraId="0514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3286C37B">
            <w:pPr>
              <w:adjustRightInd w:val="0"/>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8486" w:type="dxa"/>
            <w:vAlign w:val="center"/>
          </w:tcPr>
          <w:p w14:paraId="535BD558">
            <w:pPr>
              <w:spacing w:line="400" w:lineRule="exact"/>
              <w:ind w:right="-145" w:rightChars="-69"/>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中标人需提供3年7*24小时的现场服务响应，</w:t>
            </w:r>
            <w:r>
              <w:rPr>
                <w:rFonts w:hint="eastAsia" w:ascii="宋体" w:hAnsi="宋体" w:eastAsia="宋体" w:cs="宋体"/>
                <w:color w:val="auto"/>
                <w:kern w:val="0"/>
                <w:sz w:val="21"/>
                <w:szCs w:val="21"/>
                <w:highlight w:val="none"/>
                <w:lang w:eastAsia="zh-CN"/>
              </w:rPr>
              <w:t>时间自通过采购人及使用单位验收并移交完整竣工资料之日起计算。</w:t>
            </w:r>
          </w:p>
        </w:tc>
      </w:tr>
      <w:tr w14:paraId="49FA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32A0CC6B">
            <w:pPr>
              <w:adjustRightInd w:val="0"/>
              <w:snapToGrid w:val="0"/>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7</w:t>
            </w:r>
          </w:p>
        </w:tc>
        <w:tc>
          <w:tcPr>
            <w:tcW w:w="8486" w:type="dxa"/>
            <w:vAlign w:val="center"/>
          </w:tcPr>
          <w:p w14:paraId="69542D46">
            <w:pPr>
              <w:spacing w:line="360" w:lineRule="auto"/>
              <w:jc w:val="both"/>
              <w:rPr>
                <w:rFonts w:hint="eastAsia" w:ascii="宋体" w:hAnsi="宋体" w:eastAsia="宋体" w:cs="宋体"/>
                <w:sz w:val="21"/>
                <w:szCs w:val="21"/>
              </w:rPr>
            </w:pPr>
            <w:r>
              <w:rPr>
                <w:rFonts w:hint="eastAsia" w:ascii="宋体" w:hAnsi="宋体" w:eastAsia="宋体" w:cs="宋体"/>
                <w:bCs/>
                <w:sz w:val="21"/>
                <w:szCs w:val="21"/>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p>
        </w:tc>
      </w:tr>
    </w:tbl>
    <w:p w14:paraId="542DF154">
      <w:pPr>
        <w:adjustRightInd w:val="0"/>
        <w:snapToGrid w:val="0"/>
        <w:spacing w:line="360" w:lineRule="auto"/>
        <w:ind w:firstLine="482" w:firstLineChars="200"/>
      </w:pPr>
      <w:r>
        <w:rPr>
          <w:rFonts w:hint="eastAsia" w:ascii="黑体"/>
          <w:b/>
          <w:kern w:val="0"/>
          <w:sz w:val="24"/>
        </w:rPr>
        <w:t>注：上表所列内容为不可负偏离的实质性条款。</w:t>
      </w:r>
    </w:p>
    <w:p w14:paraId="790CB97D">
      <w:pPr>
        <w:spacing w:line="360" w:lineRule="exact"/>
        <w:rPr>
          <w:b/>
        </w:rPr>
      </w:pPr>
    </w:p>
    <w:p w14:paraId="726E970C">
      <w:pPr>
        <w:pStyle w:val="5"/>
        <w:spacing w:before="120" w:beforeLines="50" w:after="120" w:afterLines="50" w:line="360" w:lineRule="exact"/>
        <w:rPr>
          <w:sz w:val="28"/>
          <w:szCs w:val="28"/>
        </w:rPr>
      </w:pPr>
      <w:r>
        <w:rPr>
          <w:rFonts w:hint="eastAsia"/>
          <w:sz w:val="28"/>
          <w:szCs w:val="28"/>
        </w:rPr>
        <w:t>三、项目背景</w:t>
      </w:r>
    </w:p>
    <w:p w14:paraId="7645892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b w:val="0"/>
          <w:bCs w:val="0"/>
          <w:color w:val="auto"/>
          <w:sz w:val="21"/>
          <w:szCs w:val="21"/>
          <w:highlight w:val="none"/>
        </w:rPr>
      </w:pPr>
      <w:r>
        <w:rPr>
          <w:rFonts w:hint="eastAsia" w:ascii="宋体" w:hAnsi="宋体"/>
          <w:b w:val="0"/>
          <w:bCs w:val="0"/>
          <w:color w:val="auto"/>
          <w:sz w:val="21"/>
          <w:szCs w:val="21"/>
          <w:highlight w:val="none"/>
          <w:lang w:val="en-US" w:eastAsia="zh-CN"/>
        </w:rPr>
        <w:t>深圳市</w:t>
      </w:r>
      <w:r>
        <w:rPr>
          <w:rFonts w:hint="eastAsia" w:ascii="宋体" w:hAnsi="宋体"/>
          <w:b w:val="0"/>
          <w:bCs w:val="0"/>
          <w:color w:val="auto"/>
          <w:sz w:val="21"/>
          <w:szCs w:val="21"/>
          <w:highlight w:val="none"/>
        </w:rPr>
        <w:t>儿童医院监控原有部分设备安装时间较久需要更新。另外需新增一些摄像机点位补充目前监控盲区</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且</w:t>
      </w:r>
      <w:r>
        <w:rPr>
          <w:rFonts w:hint="eastAsia" w:ascii="宋体" w:hAnsi="宋体"/>
          <w:b w:val="0"/>
          <w:bCs w:val="0"/>
          <w:color w:val="auto"/>
          <w:sz w:val="21"/>
          <w:szCs w:val="21"/>
          <w:highlight w:val="none"/>
        </w:rPr>
        <w:t>新增的培训考试中心需要进行监控设备安装。</w:t>
      </w:r>
    </w:p>
    <w:p w14:paraId="0E4A073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b w:val="0"/>
          <w:bCs w:val="0"/>
          <w:color w:val="auto"/>
          <w:sz w:val="21"/>
          <w:szCs w:val="21"/>
          <w:highlight w:val="none"/>
        </w:rPr>
      </w:pPr>
      <w:r>
        <w:rPr>
          <w:rFonts w:hint="eastAsia" w:ascii="宋体" w:hAnsi="宋体"/>
          <w:b w:val="0"/>
          <w:bCs w:val="0"/>
          <w:color w:val="auto"/>
          <w:sz w:val="21"/>
          <w:szCs w:val="21"/>
          <w:highlight w:val="none"/>
        </w:rPr>
        <w:t>1</w:t>
      </w:r>
      <w:r>
        <w:rPr>
          <w:rFonts w:hint="eastAsia" w:ascii="宋体" w:hAnsi="宋体"/>
          <w:b w:val="0"/>
          <w:bCs w:val="0"/>
          <w:color w:val="auto"/>
          <w:sz w:val="21"/>
          <w:szCs w:val="21"/>
          <w:highlight w:val="none"/>
          <w:lang w:val="en-US" w:eastAsia="zh-CN"/>
        </w:rPr>
        <w:t>.</w:t>
      </w:r>
      <w:r>
        <w:rPr>
          <w:rFonts w:hint="eastAsia" w:ascii="宋体" w:hAnsi="宋体"/>
          <w:b w:val="0"/>
          <w:bCs w:val="0"/>
          <w:color w:val="auto"/>
          <w:sz w:val="21"/>
          <w:szCs w:val="21"/>
          <w:highlight w:val="none"/>
        </w:rPr>
        <w:t>原200W清晰度的设备更新：</w:t>
      </w:r>
    </w:p>
    <w:p w14:paraId="4902A50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b w:val="0"/>
          <w:bCs w:val="0"/>
          <w:color w:val="auto"/>
          <w:sz w:val="21"/>
          <w:szCs w:val="21"/>
          <w:highlight w:val="none"/>
        </w:rPr>
      </w:pPr>
      <w:r>
        <w:rPr>
          <w:rFonts w:hint="eastAsia" w:ascii="宋体" w:hAnsi="宋体" w:eastAsia="宋体" w:cs="宋体"/>
          <w:b w:val="0"/>
          <w:bCs w:val="0"/>
          <w:color w:val="auto"/>
          <w:sz w:val="21"/>
          <w:szCs w:val="21"/>
          <w:highlight w:val="none"/>
        </w:rPr>
        <w:t>①</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建设于2014年的2</w:t>
      </w:r>
      <w:r>
        <w:rPr>
          <w:rFonts w:ascii="宋体" w:hAnsi="宋体"/>
          <w:b w:val="0"/>
          <w:bCs w:val="0"/>
          <w:color w:val="auto"/>
          <w:sz w:val="21"/>
          <w:szCs w:val="21"/>
          <w:highlight w:val="none"/>
        </w:rPr>
        <w:t>6</w:t>
      </w:r>
      <w:r>
        <w:rPr>
          <w:rFonts w:hint="eastAsia" w:ascii="宋体" w:hAnsi="宋体"/>
          <w:b w:val="0"/>
          <w:bCs w:val="0"/>
          <w:color w:val="auto"/>
          <w:sz w:val="21"/>
          <w:szCs w:val="21"/>
          <w:highlight w:val="none"/>
        </w:rPr>
        <w:t>路200万摄像机更新为400万高清摄像机。</w:t>
      </w:r>
    </w:p>
    <w:p w14:paraId="058239F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r>
        <w:rPr>
          <w:rFonts w:hint="eastAsia" w:ascii="宋体" w:hAnsi="宋体"/>
          <w:b w:val="0"/>
          <w:bCs w:val="0"/>
          <w:color w:val="auto"/>
          <w:sz w:val="21"/>
          <w:szCs w:val="21"/>
          <w:highlight w:val="none"/>
          <w:lang w:val="en-US" w:eastAsia="zh-CN"/>
        </w:rPr>
        <w:t>.</w:t>
      </w:r>
      <w:r>
        <w:rPr>
          <w:rFonts w:hint="eastAsia" w:ascii="宋体" w:hAnsi="宋体"/>
          <w:b w:val="0"/>
          <w:bCs w:val="0"/>
          <w:color w:val="auto"/>
          <w:sz w:val="21"/>
          <w:szCs w:val="21"/>
          <w:highlight w:val="none"/>
        </w:rPr>
        <w:t>新增400W高清红外摄像机点位2</w:t>
      </w:r>
      <w:r>
        <w:rPr>
          <w:rFonts w:ascii="宋体" w:hAnsi="宋体"/>
          <w:b w:val="0"/>
          <w:bCs w:val="0"/>
          <w:color w:val="auto"/>
          <w:sz w:val="21"/>
          <w:szCs w:val="21"/>
          <w:highlight w:val="none"/>
        </w:rPr>
        <w:t>58</w:t>
      </w:r>
      <w:r>
        <w:rPr>
          <w:rFonts w:hint="eastAsia" w:ascii="宋体" w:hAnsi="宋体"/>
          <w:b w:val="0"/>
          <w:bCs w:val="0"/>
          <w:color w:val="auto"/>
          <w:sz w:val="21"/>
          <w:szCs w:val="21"/>
          <w:highlight w:val="none"/>
        </w:rPr>
        <w:t>路，其中：</w:t>
      </w:r>
    </w:p>
    <w:p w14:paraId="6FF7721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b w:val="0"/>
          <w:bCs w:val="0"/>
          <w:color w:val="auto"/>
          <w:sz w:val="21"/>
          <w:szCs w:val="21"/>
          <w:highlight w:val="none"/>
        </w:rPr>
      </w:pPr>
      <w:r>
        <w:rPr>
          <w:rFonts w:hint="eastAsia" w:ascii="宋体" w:hAnsi="宋体" w:eastAsia="宋体" w:cs="宋体"/>
          <w:b w:val="0"/>
          <w:bCs w:val="0"/>
          <w:color w:val="auto"/>
          <w:sz w:val="21"/>
          <w:szCs w:val="21"/>
          <w:highlight w:val="none"/>
        </w:rPr>
        <w:t>①</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增加门诊楼南北通道1到11楼点位共22台400W高清红外枪型摄像机；</w:t>
      </w:r>
    </w:p>
    <w:p w14:paraId="02E05AF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②</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增加门诊楼中电梯厅、步行楼梯等点位共2</w:t>
      </w:r>
      <w:r>
        <w:rPr>
          <w:rFonts w:ascii="宋体" w:hAnsi="宋体"/>
          <w:b w:val="0"/>
          <w:bCs w:val="0"/>
          <w:color w:val="auto"/>
          <w:sz w:val="21"/>
          <w:szCs w:val="21"/>
          <w:highlight w:val="none"/>
        </w:rPr>
        <w:t>36</w:t>
      </w:r>
      <w:r>
        <w:rPr>
          <w:rFonts w:hint="eastAsia" w:ascii="宋体" w:hAnsi="宋体"/>
          <w:b w:val="0"/>
          <w:bCs w:val="0"/>
          <w:color w:val="auto"/>
          <w:sz w:val="21"/>
          <w:szCs w:val="21"/>
          <w:highlight w:val="none"/>
        </w:rPr>
        <w:t>台400W高清红外半球摄像机</w:t>
      </w:r>
      <w:r>
        <w:rPr>
          <w:rFonts w:hint="eastAsia" w:ascii="宋体" w:hAnsi="宋体"/>
          <w:b w:val="0"/>
          <w:bCs w:val="0"/>
          <w:color w:val="auto"/>
          <w:sz w:val="21"/>
          <w:szCs w:val="21"/>
          <w:highlight w:val="none"/>
          <w:lang w:eastAsia="zh-CN"/>
        </w:rPr>
        <w:t>。</w:t>
      </w:r>
    </w:p>
    <w:p w14:paraId="740D4B6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b w:val="0"/>
          <w:bCs w:val="0"/>
          <w:color w:val="auto"/>
          <w:sz w:val="21"/>
          <w:szCs w:val="21"/>
          <w:highlight w:val="none"/>
        </w:rPr>
      </w:pPr>
      <w:r>
        <w:rPr>
          <w:rFonts w:hint="eastAsia" w:ascii="宋体" w:hAnsi="宋体"/>
          <w:b w:val="0"/>
          <w:bCs w:val="0"/>
          <w:color w:val="auto"/>
          <w:sz w:val="21"/>
          <w:szCs w:val="21"/>
          <w:highlight w:val="none"/>
        </w:rPr>
        <w:t>3</w:t>
      </w:r>
      <w:r>
        <w:rPr>
          <w:rFonts w:hint="eastAsia" w:ascii="宋体" w:hAnsi="宋体"/>
          <w:b w:val="0"/>
          <w:bCs w:val="0"/>
          <w:color w:val="auto"/>
          <w:sz w:val="21"/>
          <w:szCs w:val="21"/>
          <w:highlight w:val="none"/>
          <w:lang w:val="en-US" w:eastAsia="zh-CN"/>
        </w:rPr>
        <w:t>.</w:t>
      </w:r>
      <w:r>
        <w:rPr>
          <w:rFonts w:hint="eastAsia" w:ascii="宋体" w:hAnsi="宋体"/>
          <w:b w:val="0"/>
          <w:bCs w:val="0"/>
          <w:color w:val="auto"/>
          <w:sz w:val="21"/>
          <w:szCs w:val="21"/>
          <w:highlight w:val="none"/>
        </w:rPr>
        <w:t>网络传输汇聚点优化</w:t>
      </w:r>
    </w:p>
    <w:p w14:paraId="3D13952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①</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门诊楼负一楼汇聚点新建光汇聚交换机，汇聚原光纤线路，集中上传监控中心网络汇聚机房</w:t>
      </w:r>
      <w:r>
        <w:rPr>
          <w:rFonts w:hint="eastAsia" w:ascii="宋体" w:hAnsi="宋体"/>
          <w:b w:val="0"/>
          <w:bCs w:val="0"/>
          <w:color w:val="auto"/>
          <w:sz w:val="21"/>
          <w:szCs w:val="21"/>
          <w:highlight w:val="none"/>
          <w:lang w:eastAsia="zh-CN"/>
        </w:rPr>
        <w:t>；</w:t>
      </w:r>
    </w:p>
    <w:p w14:paraId="334EC49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b w:val="0"/>
          <w:bCs w:val="0"/>
          <w:color w:val="auto"/>
          <w:sz w:val="21"/>
          <w:szCs w:val="21"/>
          <w:highlight w:val="none"/>
        </w:rPr>
      </w:pPr>
      <w:r>
        <w:rPr>
          <w:rFonts w:hint="eastAsia" w:ascii="宋体" w:hAnsi="宋体" w:eastAsia="宋体" w:cs="宋体"/>
          <w:b w:val="0"/>
          <w:bCs w:val="0"/>
          <w:color w:val="auto"/>
          <w:sz w:val="21"/>
          <w:szCs w:val="21"/>
          <w:highlight w:val="none"/>
        </w:rPr>
        <w:t>②</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住院9楼新建光交换机，汇聚所有原光纤线路，集中上传监控中心网络汇聚机房。</w:t>
      </w:r>
    </w:p>
    <w:p w14:paraId="6FD8247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b w:val="0"/>
          <w:bCs w:val="0"/>
          <w:color w:val="auto"/>
          <w:sz w:val="21"/>
          <w:szCs w:val="21"/>
          <w:highlight w:val="none"/>
        </w:rPr>
      </w:pPr>
      <w:r>
        <w:rPr>
          <w:rFonts w:ascii="宋体" w:hAnsi="宋体"/>
          <w:b w:val="0"/>
          <w:bCs w:val="0"/>
          <w:color w:val="auto"/>
          <w:sz w:val="21"/>
          <w:szCs w:val="21"/>
          <w:highlight w:val="none"/>
        </w:rPr>
        <w:t>4</w:t>
      </w:r>
      <w:r>
        <w:rPr>
          <w:rFonts w:hint="eastAsia" w:ascii="宋体" w:hAnsi="宋体"/>
          <w:b w:val="0"/>
          <w:bCs w:val="0"/>
          <w:color w:val="auto"/>
          <w:sz w:val="21"/>
          <w:szCs w:val="21"/>
          <w:highlight w:val="none"/>
          <w:lang w:val="en-US" w:eastAsia="zh-CN"/>
        </w:rPr>
        <w:t>.</w:t>
      </w:r>
      <w:r>
        <w:rPr>
          <w:rFonts w:hint="eastAsia" w:ascii="宋体" w:hAnsi="宋体"/>
          <w:b w:val="0"/>
          <w:bCs w:val="0"/>
          <w:color w:val="auto"/>
          <w:sz w:val="21"/>
          <w:szCs w:val="21"/>
          <w:highlight w:val="none"/>
        </w:rPr>
        <w:t>新增培训考试中心，主要需求如下：</w:t>
      </w:r>
    </w:p>
    <w:p w14:paraId="0BA9E78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b w:val="0"/>
          <w:bCs w:val="0"/>
          <w:color w:val="auto"/>
          <w:sz w:val="21"/>
          <w:szCs w:val="21"/>
          <w:highlight w:val="none"/>
        </w:rPr>
      </w:pPr>
      <w:r>
        <w:rPr>
          <w:rFonts w:hint="eastAsia" w:ascii="宋体" w:hAnsi="宋体" w:eastAsia="宋体" w:cs="宋体"/>
          <w:b w:val="0"/>
          <w:bCs w:val="0"/>
          <w:color w:val="auto"/>
          <w:sz w:val="21"/>
          <w:szCs w:val="21"/>
          <w:highlight w:val="none"/>
        </w:rPr>
        <w:t>①</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培训室和考场监控:</w:t>
      </w:r>
    </w:p>
    <w:p w14:paraId="51FB42F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b w:val="0"/>
          <w:bCs w:val="0"/>
          <w:color w:val="auto"/>
          <w:sz w:val="21"/>
          <w:szCs w:val="21"/>
          <w:highlight w:val="none"/>
          <w:lang w:eastAsia="zh-CN"/>
        </w:rPr>
      </w:pPr>
      <w:r>
        <w:rPr>
          <w:rFonts w:hint="eastAsia" w:ascii="宋体" w:hAnsi="宋体"/>
          <w:b w:val="0"/>
          <w:bCs w:val="0"/>
          <w:color w:val="auto"/>
          <w:sz w:val="21"/>
          <w:szCs w:val="21"/>
          <w:highlight w:val="none"/>
        </w:rPr>
        <w:t>7间技能培训室及12间考站内，需要安装4</w:t>
      </w:r>
      <w:r>
        <w:rPr>
          <w:rFonts w:ascii="宋体" w:hAnsi="宋体"/>
          <w:b w:val="0"/>
          <w:bCs w:val="0"/>
          <w:color w:val="auto"/>
          <w:sz w:val="21"/>
          <w:szCs w:val="21"/>
          <w:highlight w:val="none"/>
        </w:rPr>
        <w:t>2</w:t>
      </w:r>
      <w:r>
        <w:rPr>
          <w:rFonts w:hint="eastAsia" w:ascii="宋体" w:hAnsi="宋体"/>
          <w:b w:val="0"/>
          <w:bCs w:val="0"/>
          <w:color w:val="auto"/>
          <w:sz w:val="21"/>
          <w:szCs w:val="21"/>
          <w:highlight w:val="none"/>
        </w:rPr>
        <w:t>台8</w:t>
      </w:r>
      <w:r>
        <w:rPr>
          <w:rFonts w:ascii="宋体" w:hAnsi="宋体"/>
          <w:b w:val="0"/>
          <w:bCs w:val="0"/>
          <w:color w:val="auto"/>
          <w:sz w:val="21"/>
          <w:szCs w:val="21"/>
          <w:highlight w:val="none"/>
        </w:rPr>
        <w:t>00W</w:t>
      </w:r>
      <w:r>
        <w:rPr>
          <w:rFonts w:hint="eastAsia" w:ascii="宋体" w:hAnsi="宋体"/>
          <w:b w:val="0"/>
          <w:bCs w:val="0"/>
          <w:color w:val="auto"/>
          <w:sz w:val="21"/>
          <w:szCs w:val="21"/>
          <w:highlight w:val="none"/>
        </w:rPr>
        <w:t>带音频高清带音频摄像头，以支持教室内的教学和培训活动，并记录和监控考试和培训过程。要求能保证清晰的双向音频，支持远程访问和控制，支持云台移动，可以支持多角度拍摄和录制，同时实现遥控操作</w:t>
      </w:r>
      <w:r>
        <w:rPr>
          <w:rFonts w:hint="eastAsia" w:ascii="宋体" w:hAnsi="宋体"/>
          <w:b w:val="0"/>
          <w:bCs w:val="0"/>
          <w:color w:val="auto"/>
          <w:sz w:val="21"/>
          <w:szCs w:val="21"/>
          <w:highlight w:val="none"/>
          <w:lang w:eastAsia="zh-CN"/>
        </w:rPr>
        <w:t>；</w:t>
      </w:r>
    </w:p>
    <w:p w14:paraId="221D5A8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b w:val="0"/>
          <w:bCs w:val="0"/>
          <w:color w:val="auto"/>
          <w:sz w:val="21"/>
          <w:szCs w:val="21"/>
          <w:highlight w:val="none"/>
        </w:rPr>
      </w:pPr>
      <w:r>
        <w:rPr>
          <w:rFonts w:hint="eastAsia" w:ascii="宋体" w:hAnsi="宋体" w:eastAsia="宋体" w:cs="宋体"/>
          <w:b w:val="0"/>
          <w:bCs w:val="0"/>
          <w:color w:val="auto"/>
          <w:sz w:val="21"/>
          <w:szCs w:val="21"/>
          <w:highlight w:val="none"/>
        </w:rPr>
        <w:t>②</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安防监控:</w:t>
      </w:r>
    </w:p>
    <w:p w14:paraId="5D9E8ED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b w:val="0"/>
          <w:bCs w:val="0"/>
          <w:color w:val="auto"/>
          <w:sz w:val="21"/>
          <w:szCs w:val="21"/>
          <w:highlight w:val="none"/>
          <w:lang w:eastAsia="zh-CN"/>
        </w:rPr>
      </w:pPr>
      <w:r>
        <w:rPr>
          <w:rFonts w:hint="eastAsia" w:ascii="宋体" w:hAnsi="宋体"/>
          <w:b w:val="0"/>
          <w:bCs w:val="0"/>
          <w:color w:val="auto"/>
          <w:sz w:val="21"/>
          <w:szCs w:val="21"/>
          <w:highlight w:val="none"/>
        </w:rPr>
        <w:t>在走廊、出入口等公共区域需要安装3</w:t>
      </w:r>
      <w:r>
        <w:rPr>
          <w:rFonts w:ascii="宋体" w:hAnsi="宋体"/>
          <w:b w:val="0"/>
          <w:bCs w:val="0"/>
          <w:color w:val="auto"/>
          <w:sz w:val="21"/>
          <w:szCs w:val="21"/>
          <w:highlight w:val="none"/>
        </w:rPr>
        <w:t>1</w:t>
      </w:r>
      <w:r>
        <w:rPr>
          <w:rFonts w:hint="eastAsia" w:ascii="宋体" w:hAnsi="宋体"/>
          <w:b w:val="0"/>
          <w:bCs w:val="0"/>
          <w:color w:val="auto"/>
          <w:sz w:val="21"/>
          <w:szCs w:val="21"/>
          <w:highlight w:val="none"/>
        </w:rPr>
        <w:t>台6</w:t>
      </w:r>
      <w:r>
        <w:rPr>
          <w:rFonts w:ascii="宋体" w:hAnsi="宋体"/>
          <w:b w:val="0"/>
          <w:bCs w:val="0"/>
          <w:color w:val="auto"/>
          <w:sz w:val="21"/>
          <w:szCs w:val="21"/>
          <w:highlight w:val="none"/>
        </w:rPr>
        <w:t>00W</w:t>
      </w:r>
      <w:r>
        <w:rPr>
          <w:rFonts w:hint="eastAsia" w:ascii="宋体" w:hAnsi="宋体"/>
          <w:b w:val="0"/>
          <w:bCs w:val="0"/>
          <w:color w:val="auto"/>
          <w:sz w:val="21"/>
          <w:szCs w:val="21"/>
          <w:highlight w:val="none"/>
        </w:rPr>
        <w:t>安防监控设备，以确保安全性和设备的整体监控。要求能保证清晰的单向音频，支持远程访问和控制</w:t>
      </w:r>
      <w:r>
        <w:rPr>
          <w:rFonts w:hint="eastAsia" w:ascii="宋体" w:hAnsi="宋体"/>
          <w:b w:val="0"/>
          <w:bCs w:val="0"/>
          <w:color w:val="auto"/>
          <w:sz w:val="21"/>
          <w:szCs w:val="21"/>
          <w:highlight w:val="none"/>
          <w:lang w:eastAsia="zh-CN"/>
        </w:rPr>
        <w:t>。</w:t>
      </w:r>
    </w:p>
    <w:p w14:paraId="26DACA1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olor w:val="FF0000"/>
          <w:sz w:val="24"/>
        </w:rPr>
      </w:pPr>
      <w:r>
        <w:rPr>
          <w:rFonts w:hint="eastAsia" w:ascii="宋体" w:hAnsi="宋体"/>
          <w:b w:val="0"/>
          <w:bCs w:val="0"/>
          <w:color w:val="auto"/>
          <w:sz w:val="21"/>
          <w:szCs w:val="21"/>
          <w:highlight w:val="none"/>
        </w:rPr>
        <w:t>5</w:t>
      </w:r>
      <w:r>
        <w:rPr>
          <w:rFonts w:hint="eastAsia" w:ascii="宋体" w:hAnsi="宋体"/>
          <w:b w:val="0"/>
          <w:bCs w:val="0"/>
          <w:color w:val="auto"/>
          <w:sz w:val="21"/>
          <w:szCs w:val="21"/>
          <w:highlight w:val="none"/>
          <w:lang w:val="en-US" w:eastAsia="zh-CN"/>
        </w:rPr>
        <w:t>.</w:t>
      </w:r>
      <w:r>
        <w:rPr>
          <w:rFonts w:hint="eastAsia" w:ascii="宋体" w:hAnsi="宋体"/>
          <w:b w:val="0"/>
          <w:bCs w:val="0"/>
          <w:color w:val="auto"/>
          <w:sz w:val="21"/>
          <w:szCs w:val="21"/>
          <w:highlight w:val="none"/>
        </w:rPr>
        <w:t>存储:所有新增点位保证至少90天的数据存储。</w:t>
      </w:r>
    </w:p>
    <w:p w14:paraId="74DDA43E">
      <w:pPr>
        <w:autoSpaceDE w:val="0"/>
        <w:autoSpaceDN w:val="0"/>
        <w:adjustRightInd w:val="0"/>
        <w:spacing w:before="120" w:beforeLines="50" w:line="360" w:lineRule="auto"/>
        <w:ind w:firstLine="482" w:firstLineChars="200"/>
        <w:jc w:val="left"/>
        <w:rPr>
          <w:rFonts w:ascii="仿宋_GB2312" w:eastAsia="仿宋_GB2312"/>
          <w:b/>
          <w:sz w:val="24"/>
        </w:rPr>
      </w:pPr>
      <w:r>
        <w:rPr>
          <w:rFonts w:hint="eastAsia" w:ascii="仿宋_GB2312" w:eastAsia="仿宋_GB2312"/>
          <w:b/>
          <w:sz w:val="24"/>
        </w:rPr>
        <w:t>备注：</w:t>
      </w:r>
    </w:p>
    <w:p w14:paraId="27FBE805">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rPr>
        <w:t>1、本项目需求中出现的工艺、材料、设备或参照的品牌等仅为方便描述而没有限制性，投标人可以在其提供的文件资料中选用替代标准，但这些替代标准要优于或相当于项目需求中要求的标准。</w:t>
      </w:r>
    </w:p>
    <w:p w14:paraId="1B051F08">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rPr>
        <w:t>2、如要求提供证明材料，投标文件需提供相应证明材料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5F1584FD">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rPr>
        <w:t>3、投标人提供证书或检测报告等证明材料的，颁发证书、出具报告的机构须是合法设立的机构，且具有颁发相应证书或者出具相应报告的资质。</w:t>
      </w:r>
    </w:p>
    <w:p w14:paraId="52C819DA">
      <w:pPr>
        <w:autoSpaceDE w:val="0"/>
        <w:autoSpaceDN w:val="0"/>
        <w:adjustRightInd w:val="0"/>
        <w:spacing w:line="360" w:lineRule="auto"/>
        <w:ind w:firstLine="482" w:firstLineChars="200"/>
        <w:jc w:val="left"/>
        <w:rPr>
          <w:rFonts w:ascii="宋体" w:hAnsi="宋体"/>
          <w:szCs w:val="21"/>
        </w:rPr>
      </w:pPr>
      <w:r>
        <w:rPr>
          <w:rFonts w:hint="eastAsia" w:ascii="仿宋_GB2312" w:eastAsia="仿宋_GB2312"/>
          <w:b/>
          <w:sz w:val="24"/>
          <w:highlight w:val="yellow"/>
        </w:rPr>
        <w:t>4、加注★的条款为不可负偏离的实质性条款，任一项未响应或不满足要求的，将导致投标无效。</w:t>
      </w:r>
    </w:p>
    <w:p w14:paraId="71B83443">
      <w:pPr>
        <w:spacing w:line="360" w:lineRule="exact"/>
        <w:rPr>
          <w:b/>
        </w:rPr>
      </w:pPr>
    </w:p>
    <w:p w14:paraId="2A9499A9">
      <w:pPr>
        <w:pStyle w:val="5"/>
        <w:spacing w:before="120" w:beforeLines="50" w:after="120" w:afterLines="50" w:line="360" w:lineRule="exact"/>
        <w:rPr>
          <w:sz w:val="28"/>
          <w:szCs w:val="28"/>
        </w:rPr>
      </w:pPr>
      <w:r>
        <w:rPr>
          <w:rFonts w:hint="eastAsia"/>
          <w:sz w:val="28"/>
          <w:szCs w:val="28"/>
        </w:rPr>
        <w:t>四、主要工作内容及工程量</w:t>
      </w:r>
    </w:p>
    <w:p w14:paraId="312F348A">
      <w:pPr>
        <w:spacing w:line="360" w:lineRule="auto"/>
        <w:ind w:firstLine="420" w:firstLineChars="200"/>
        <w:rPr>
          <w:szCs w:val="21"/>
        </w:rPr>
      </w:pPr>
    </w:p>
    <w:p w14:paraId="1F57CB17">
      <w:pPr>
        <w:pStyle w:val="5"/>
        <w:spacing w:before="120" w:beforeLines="50" w:after="120" w:afterLines="50" w:line="360" w:lineRule="auto"/>
        <w:rPr>
          <w:sz w:val="28"/>
          <w:szCs w:val="28"/>
        </w:rPr>
      </w:pPr>
      <w:r>
        <w:rPr>
          <w:rFonts w:hint="eastAsia"/>
          <w:sz w:val="28"/>
          <w:szCs w:val="28"/>
        </w:rPr>
        <w:t>（一）主要工作内容</w:t>
      </w:r>
    </w:p>
    <w:tbl>
      <w:tblPr>
        <w:tblStyle w:val="55"/>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499"/>
        <w:gridCol w:w="660"/>
        <w:gridCol w:w="660"/>
        <w:gridCol w:w="4334"/>
      </w:tblGrid>
      <w:tr w14:paraId="0958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Align w:val="center"/>
          </w:tcPr>
          <w:p w14:paraId="20140BBC">
            <w:pPr>
              <w:snapToGrid w:val="0"/>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2499" w:type="dxa"/>
            <w:vAlign w:val="center"/>
          </w:tcPr>
          <w:p w14:paraId="0FC6DA92">
            <w:pPr>
              <w:snapToGrid w:val="0"/>
              <w:spacing w:line="360" w:lineRule="auto"/>
              <w:jc w:val="center"/>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标的名称</w:t>
            </w:r>
          </w:p>
        </w:tc>
        <w:tc>
          <w:tcPr>
            <w:tcW w:w="660" w:type="dxa"/>
            <w:vAlign w:val="center"/>
          </w:tcPr>
          <w:p w14:paraId="76C45C2B">
            <w:pPr>
              <w:snapToGrid w:val="0"/>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660" w:type="dxa"/>
            <w:vAlign w:val="center"/>
          </w:tcPr>
          <w:p w14:paraId="43AFD2C9">
            <w:pPr>
              <w:snapToGrid w:val="0"/>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4334" w:type="dxa"/>
            <w:vAlign w:val="center"/>
          </w:tcPr>
          <w:p w14:paraId="1C9AF169">
            <w:pPr>
              <w:snapToGrid w:val="0"/>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最高投标限价（单位：人民币元）</w:t>
            </w:r>
          </w:p>
        </w:tc>
      </w:tr>
      <w:tr w14:paraId="6A6D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643" w:type="dxa"/>
            <w:vAlign w:val="center"/>
          </w:tcPr>
          <w:p w14:paraId="090533A1">
            <w:pPr>
              <w:snapToGrid w:val="0"/>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2499" w:type="dxa"/>
            <w:vAlign w:val="center"/>
          </w:tcPr>
          <w:p w14:paraId="3389C7F1">
            <w:pPr>
              <w:snapToGrid w:val="0"/>
              <w:spacing w:line="360" w:lineRule="auto"/>
              <w:jc w:val="center"/>
              <w:rPr>
                <w:rFonts w:asciiTheme="minorEastAsia" w:hAnsiTheme="minorEastAsia"/>
                <w:bCs/>
                <w:szCs w:val="21"/>
              </w:rPr>
            </w:pPr>
            <w:r>
              <w:rPr>
                <w:rFonts w:hint="eastAsia" w:ascii="宋体" w:hAnsi="宋体"/>
              </w:rPr>
              <w:t>深圳市儿童医院视频监控系统改造及新增</w:t>
            </w:r>
          </w:p>
        </w:tc>
        <w:tc>
          <w:tcPr>
            <w:tcW w:w="660" w:type="dxa"/>
            <w:vAlign w:val="center"/>
          </w:tcPr>
          <w:p w14:paraId="4AD89B24">
            <w:pPr>
              <w:snapToGrid w:val="0"/>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660" w:type="dxa"/>
            <w:vAlign w:val="center"/>
          </w:tcPr>
          <w:p w14:paraId="719E0B86">
            <w:pPr>
              <w:snapToGrid w:val="0"/>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项</w:t>
            </w:r>
          </w:p>
        </w:tc>
        <w:tc>
          <w:tcPr>
            <w:tcW w:w="4334" w:type="dxa"/>
            <w:vAlign w:val="center"/>
          </w:tcPr>
          <w:p w14:paraId="773523B4">
            <w:pPr>
              <w:spacing w:line="360" w:lineRule="auto"/>
              <w:ind w:right="-145" w:rightChars="-69"/>
              <w:rPr>
                <w:rFonts w:asciiTheme="minorEastAsia" w:hAnsiTheme="minorEastAsia" w:eastAsiaTheme="minorEastAsia"/>
                <w:bCs/>
                <w:szCs w:val="21"/>
              </w:rPr>
            </w:pPr>
            <w:r>
              <w:rPr>
                <w:rFonts w:hint="eastAsia" w:asciiTheme="minorEastAsia" w:hAnsiTheme="minorEastAsia" w:eastAsiaTheme="minorEastAsia"/>
                <w:bCs/>
                <w:szCs w:val="21"/>
                <w:lang w:eastAsia="zh-CN"/>
              </w:rPr>
              <w:t>1,450,000.00</w:t>
            </w:r>
            <w:r>
              <w:rPr>
                <w:rFonts w:hint="eastAsia" w:asciiTheme="minorEastAsia" w:hAnsiTheme="minorEastAsia" w:eastAsiaTheme="minorEastAsia"/>
                <w:bCs/>
                <w:szCs w:val="21"/>
              </w:rPr>
              <w:t>（其中包括不可竞争费用：施工单位现场安全文明施工措施费：27,117.26元）</w:t>
            </w:r>
          </w:p>
        </w:tc>
      </w:tr>
    </w:tbl>
    <w:p w14:paraId="2D3AC7C0">
      <w:pPr>
        <w:spacing w:line="360" w:lineRule="auto"/>
        <w:ind w:firstLine="420" w:firstLineChars="200"/>
        <w:rPr>
          <w:szCs w:val="21"/>
        </w:rPr>
      </w:pPr>
    </w:p>
    <w:p w14:paraId="33AAE9DC">
      <w:pPr>
        <w:pStyle w:val="5"/>
        <w:spacing w:before="120" w:beforeLines="50" w:after="120" w:afterLines="50" w:line="360" w:lineRule="auto"/>
        <w:rPr>
          <w:sz w:val="28"/>
          <w:szCs w:val="28"/>
        </w:rPr>
      </w:pPr>
      <w:r>
        <w:rPr>
          <w:rFonts w:hint="eastAsia"/>
          <w:sz w:val="28"/>
          <w:szCs w:val="28"/>
        </w:rPr>
        <w:t>（二）工程量</w:t>
      </w:r>
    </w:p>
    <w:p w14:paraId="57860814">
      <w:pPr>
        <w:pStyle w:val="168"/>
        <w:spacing w:line="360" w:lineRule="auto"/>
        <w:ind w:firstLine="420" w:firstLineChars="200"/>
        <w:rPr>
          <w:rFonts w:hint="eastAsia" w:eastAsia="宋体"/>
          <w:b/>
          <w:color w:val="FF0000"/>
          <w:sz w:val="22"/>
          <w:szCs w:val="21"/>
          <w:lang w:eastAsia="zh-CN"/>
        </w:rPr>
      </w:pPr>
      <w:r>
        <w:rPr>
          <w:rFonts w:hint="eastAsia"/>
          <w:bCs/>
          <w:color w:val="auto"/>
          <w:sz w:val="21"/>
          <w:szCs w:val="21"/>
          <w:highlight w:val="none"/>
        </w:rPr>
        <w:t>本项目工程包括但不限于：安防设备供货、安装、调试</w:t>
      </w:r>
      <w:r>
        <w:rPr>
          <w:rFonts w:hint="eastAsia"/>
          <w:bCs/>
          <w:color w:val="auto"/>
          <w:sz w:val="21"/>
          <w:szCs w:val="21"/>
          <w:highlight w:val="none"/>
          <w:lang w:eastAsia="zh-CN"/>
        </w:rPr>
        <w:t>、</w:t>
      </w:r>
      <w:r>
        <w:rPr>
          <w:rFonts w:hint="eastAsia"/>
          <w:bCs/>
          <w:color w:val="auto"/>
          <w:sz w:val="21"/>
          <w:szCs w:val="21"/>
          <w:highlight w:val="none"/>
        </w:rPr>
        <w:t>线管铺设等（具体详见工程量清单）</w:t>
      </w:r>
      <w:r>
        <w:rPr>
          <w:rFonts w:hint="eastAsia"/>
          <w:bCs/>
          <w:color w:val="auto"/>
          <w:sz w:val="21"/>
          <w:szCs w:val="21"/>
          <w:highlight w:val="none"/>
          <w:lang w:eastAsia="zh-CN"/>
        </w:rPr>
        <w:t>。</w:t>
      </w:r>
    </w:p>
    <w:p w14:paraId="399181EB">
      <w:pPr>
        <w:pStyle w:val="5"/>
        <w:spacing w:before="120" w:beforeLines="50" w:after="120" w:afterLines="50" w:line="360" w:lineRule="auto"/>
        <w:rPr>
          <w:rFonts w:hint="eastAsia" w:eastAsia="宋体"/>
          <w:sz w:val="28"/>
          <w:szCs w:val="28"/>
          <w:lang w:eastAsia="zh-CN"/>
        </w:rPr>
      </w:pPr>
      <w:r>
        <w:rPr>
          <w:rFonts w:hint="eastAsia"/>
          <w:sz w:val="28"/>
          <w:szCs w:val="28"/>
        </w:rPr>
        <w:t>五、图纸</w:t>
      </w:r>
      <w:r>
        <w:rPr>
          <w:rFonts w:hint="eastAsia"/>
          <w:sz w:val="28"/>
          <w:szCs w:val="28"/>
          <w:lang w:eastAsia="zh-CN"/>
        </w:rPr>
        <w:t>（</w:t>
      </w:r>
      <w:r>
        <w:rPr>
          <w:rFonts w:hint="eastAsia"/>
          <w:sz w:val="28"/>
          <w:szCs w:val="28"/>
          <w:lang w:val="en-US" w:eastAsia="zh-CN"/>
        </w:rPr>
        <w:t>本项目无图纸</w:t>
      </w:r>
      <w:r>
        <w:rPr>
          <w:rFonts w:hint="eastAsia"/>
          <w:sz w:val="28"/>
          <w:szCs w:val="28"/>
          <w:lang w:eastAsia="zh-CN"/>
        </w:rPr>
        <w:t>）</w:t>
      </w:r>
    </w:p>
    <w:p w14:paraId="54A7BAED">
      <w:pPr>
        <w:spacing w:line="360" w:lineRule="auto"/>
      </w:pPr>
    </w:p>
    <w:p w14:paraId="6215DC4A">
      <w:pPr>
        <w:pStyle w:val="5"/>
        <w:spacing w:before="120" w:beforeLines="50" w:after="120" w:afterLines="50" w:line="360" w:lineRule="auto"/>
      </w:pPr>
      <w:r>
        <w:rPr>
          <w:rFonts w:hint="eastAsia"/>
          <w:sz w:val="28"/>
          <w:szCs w:val="28"/>
        </w:rPr>
        <w:t>六、工程量清单（见附件）</w:t>
      </w:r>
    </w:p>
    <w:p w14:paraId="5AC65BD7">
      <w:pPr>
        <w:pStyle w:val="30"/>
        <w:spacing w:line="360" w:lineRule="auto"/>
        <w:rPr>
          <w:rFonts w:hAnsi="宋体"/>
          <w:b/>
          <w:bCs/>
          <w:snapToGrid w:val="0"/>
          <w:kern w:val="0"/>
          <w:szCs w:val="21"/>
          <w:lang w:val="zh-CN"/>
        </w:rPr>
      </w:pPr>
      <w:r>
        <w:rPr>
          <w:rFonts w:hint="eastAsia" w:hAnsi="宋体"/>
          <w:b/>
          <w:bCs/>
          <w:snapToGrid w:val="0"/>
          <w:kern w:val="0"/>
          <w:szCs w:val="21"/>
          <w:lang w:val="zh-CN"/>
        </w:rPr>
        <w:t>说明：</w:t>
      </w:r>
    </w:p>
    <w:p w14:paraId="26A94B6A">
      <w:pPr>
        <w:pStyle w:val="7"/>
        <w:spacing w:before="60" w:beforeLines="25" w:after="60" w:afterLines="25" w:line="360" w:lineRule="auto"/>
        <w:ind w:firstLine="392" w:firstLineChars="187"/>
        <w:rPr>
          <w:rFonts w:ascii="宋体" w:hAnsi="宋体"/>
          <w:szCs w:val="21"/>
        </w:rPr>
      </w:pPr>
      <w:r>
        <w:rPr>
          <w:rFonts w:hint="eastAsia" w:ascii="宋体" w:hAnsi="宋体"/>
          <w:szCs w:val="21"/>
        </w:rPr>
        <w:t>1、工程计价办法：</w:t>
      </w:r>
      <w:r>
        <w:rPr>
          <w:rFonts w:hint="eastAsia" w:ascii="宋体" w:hAnsi="宋体"/>
          <w:b/>
          <w:szCs w:val="21"/>
          <w:u w:val="single"/>
        </w:rPr>
        <w:t>综合单价法</w:t>
      </w:r>
      <w:r>
        <w:rPr>
          <w:rFonts w:hint="eastAsia" w:ascii="宋体" w:hAnsi="宋体"/>
          <w:szCs w:val="21"/>
        </w:rPr>
        <w:t>。</w:t>
      </w:r>
    </w:p>
    <w:p w14:paraId="4597A619">
      <w:pPr>
        <w:pStyle w:val="7"/>
        <w:spacing w:before="60" w:beforeLines="25" w:after="60" w:afterLines="25" w:line="360" w:lineRule="auto"/>
        <w:ind w:firstLine="392" w:firstLineChars="187"/>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工程量清单应与投标须知、合同条件、工程建设标准及技术要求和图纸等文件结合起来理解或解释。</w:t>
      </w:r>
    </w:p>
    <w:p w14:paraId="6264FBA1">
      <w:pPr>
        <w:pStyle w:val="7"/>
        <w:spacing w:before="60" w:beforeLines="25" w:after="60" w:afterLines="25" w:line="360" w:lineRule="auto"/>
        <w:ind w:firstLine="392" w:firstLineChars="187"/>
        <w:rPr>
          <w:rFonts w:ascii="宋体" w:hAnsi="宋体"/>
          <w:szCs w:val="21"/>
        </w:rPr>
      </w:pPr>
      <w:r>
        <w:rPr>
          <w:rFonts w:hint="eastAsia" w:ascii="宋体" w:hAnsi="宋体"/>
          <w:szCs w:val="21"/>
        </w:rPr>
        <w:t>3、本工程量清单是采购人委托相关单位根据本招标文件中所提供的设计文件编制的。</w:t>
      </w:r>
    </w:p>
    <w:p w14:paraId="74A6F265">
      <w:pPr>
        <w:pStyle w:val="7"/>
        <w:spacing w:before="60" w:beforeLines="25" w:after="60" w:afterLines="25" w:line="360" w:lineRule="auto"/>
        <w:ind w:firstLine="392" w:firstLineChars="187"/>
        <w:rPr>
          <w:rFonts w:ascii="宋体" w:hAnsi="宋体"/>
          <w:szCs w:val="21"/>
        </w:rPr>
      </w:pPr>
      <w:r>
        <w:rPr>
          <w:rFonts w:hint="eastAsia" w:ascii="宋体" w:hAnsi="宋体"/>
          <w:szCs w:val="21"/>
        </w:rPr>
        <w:t>4、按照《建设工程工程量清单计价规范》的规定，“工程量清单格式”主要包括以下几个部分，但不局限于以下部分：</w:t>
      </w:r>
    </w:p>
    <w:p w14:paraId="584CD5E6">
      <w:pPr>
        <w:pStyle w:val="7"/>
        <w:spacing w:before="60" w:beforeLines="25" w:after="60" w:afterLines="25" w:line="360" w:lineRule="auto"/>
        <w:ind w:firstLine="392" w:firstLineChars="187"/>
        <w:rPr>
          <w:rFonts w:ascii="宋体" w:hAnsi="宋体"/>
          <w:szCs w:val="21"/>
        </w:rPr>
      </w:pPr>
      <w:r>
        <w:rPr>
          <w:rFonts w:hint="eastAsia" w:ascii="宋体" w:hAnsi="宋体"/>
          <w:szCs w:val="21"/>
        </w:rPr>
        <w:t>⑴.清单封面；</w:t>
      </w:r>
    </w:p>
    <w:p w14:paraId="43E6DD2D">
      <w:pPr>
        <w:pStyle w:val="7"/>
        <w:spacing w:before="60" w:beforeLines="25" w:after="60" w:afterLines="25" w:line="360" w:lineRule="auto"/>
        <w:ind w:firstLine="392" w:firstLineChars="187"/>
        <w:rPr>
          <w:rFonts w:ascii="宋体" w:hAnsi="宋体"/>
          <w:szCs w:val="21"/>
        </w:rPr>
      </w:pPr>
      <w:r>
        <w:rPr>
          <w:rFonts w:hint="eastAsia" w:ascii="宋体" w:hAnsi="宋体"/>
          <w:szCs w:val="21"/>
        </w:rPr>
        <w:t>⑵.总说明；</w:t>
      </w:r>
    </w:p>
    <w:p w14:paraId="6587A392">
      <w:pPr>
        <w:pStyle w:val="7"/>
        <w:spacing w:before="60" w:beforeLines="25" w:after="60" w:afterLines="25" w:line="360" w:lineRule="auto"/>
        <w:ind w:firstLine="392" w:firstLineChars="187"/>
        <w:rPr>
          <w:rFonts w:ascii="宋体" w:hAnsi="宋体"/>
          <w:szCs w:val="21"/>
        </w:rPr>
      </w:pPr>
      <w:r>
        <w:rPr>
          <w:rFonts w:hint="eastAsia" w:ascii="宋体" w:hAnsi="宋体"/>
          <w:szCs w:val="21"/>
        </w:rPr>
        <w:t>包括：工程概况、工程招标范围、工程量清单编制依据、工程质量、材料、施工的特殊要求、预留金及暂定金额的情况等。</w:t>
      </w:r>
    </w:p>
    <w:p w14:paraId="10F0518B">
      <w:pPr>
        <w:pStyle w:val="7"/>
        <w:spacing w:before="60" w:beforeLines="25" w:after="60" w:afterLines="25" w:line="360" w:lineRule="auto"/>
        <w:ind w:firstLine="392" w:firstLineChars="187"/>
        <w:rPr>
          <w:rFonts w:ascii="宋体" w:hAnsi="宋体"/>
          <w:szCs w:val="21"/>
        </w:rPr>
      </w:pPr>
      <w:r>
        <w:rPr>
          <w:rFonts w:hint="eastAsia" w:ascii="宋体" w:hAnsi="宋体"/>
          <w:szCs w:val="21"/>
        </w:rPr>
        <w:t>⑶.</w:t>
      </w:r>
      <w:r>
        <w:rPr>
          <w:rFonts w:hint="eastAsia" w:ascii="宋体" w:hAnsi="宋体"/>
          <w:kern w:val="0"/>
          <w:szCs w:val="21"/>
        </w:rPr>
        <w:t xml:space="preserve"> 工程项目/单项工程汇总表</w:t>
      </w:r>
      <w:r>
        <w:rPr>
          <w:rFonts w:hint="eastAsia" w:ascii="宋体" w:hAnsi="宋体"/>
          <w:szCs w:val="21"/>
        </w:rPr>
        <w:t>；</w:t>
      </w:r>
    </w:p>
    <w:p w14:paraId="5011D028">
      <w:pPr>
        <w:pStyle w:val="7"/>
        <w:spacing w:before="60" w:beforeLines="25" w:after="60" w:afterLines="25" w:line="360" w:lineRule="auto"/>
        <w:ind w:firstLine="392" w:firstLineChars="187"/>
        <w:rPr>
          <w:rFonts w:ascii="宋体" w:hAnsi="宋体"/>
          <w:szCs w:val="21"/>
        </w:rPr>
      </w:pPr>
      <w:r>
        <w:rPr>
          <w:rFonts w:hint="eastAsia" w:ascii="宋体" w:hAnsi="宋体"/>
          <w:szCs w:val="21"/>
        </w:rPr>
        <w:t>指本次招标的工程项目所包含的单项工程及每个单项工程所包含的单位工程，只有一个单位工程时可不填此表。</w:t>
      </w:r>
    </w:p>
    <w:p w14:paraId="556432EF">
      <w:pPr>
        <w:pStyle w:val="7"/>
        <w:spacing w:before="60" w:beforeLines="25" w:after="60" w:afterLines="25" w:line="360" w:lineRule="auto"/>
        <w:ind w:firstLine="392" w:firstLineChars="187"/>
        <w:rPr>
          <w:rFonts w:ascii="宋体" w:hAnsi="宋体"/>
          <w:szCs w:val="21"/>
        </w:rPr>
      </w:pPr>
      <w:r>
        <w:rPr>
          <w:rFonts w:hint="eastAsia" w:ascii="宋体" w:hAnsi="宋体"/>
          <w:szCs w:val="21"/>
        </w:rPr>
        <w:t>⑷.分部分项工程量清单；</w:t>
      </w:r>
    </w:p>
    <w:p w14:paraId="52DCD03D">
      <w:pPr>
        <w:pStyle w:val="7"/>
        <w:spacing w:before="60" w:beforeLines="25" w:after="60" w:afterLines="25" w:line="360" w:lineRule="auto"/>
        <w:ind w:firstLine="392" w:firstLineChars="187"/>
        <w:rPr>
          <w:rFonts w:ascii="宋体" w:hAnsi="宋体"/>
          <w:szCs w:val="21"/>
        </w:rPr>
      </w:pPr>
      <w:r>
        <w:rPr>
          <w:rFonts w:hint="eastAsia" w:ascii="宋体" w:hAnsi="宋体"/>
          <w:szCs w:val="21"/>
        </w:rPr>
        <w:t>⑸.</w:t>
      </w:r>
      <w:r>
        <w:rPr>
          <w:rFonts w:hint="eastAsia" w:ascii="宋体" w:hAnsi="宋体"/>
          <w:kern w:val="0"/>
          <w:szCs w:val="21"/>
        </w:rPr>
        <w:t xml:space="preserve"> 措施项目清单汇总表</w:t>
      </w:r>
      <w:r>
        <w:rPr>
          <w:rFonts w:hint="eastAsia" w:ascii="宋体" w:hAnsi="宋体"/>
          <w:szCs w:val="21"/>
        </w:rPr>
        <w:t>；</w:t>
      </w:r>
    </w:p>
    <w:p w14:paraId="4CEC7DB9">
      <w:pPr>
        <w:adjustRightInd w:val="0"/>
        <w:snapToGrid w:val="0"/>
        <w:spacing w:line="360" w:lineRule="auto"/>
        <w:ind w:firstLine="420" w:firstLineChars="200"/>
        <w:rPr>
          <w:rFonts w:ascii="宋体" w:hAnsi="宋体"/>
          <w:kern w:val="0"/>
          <w:szCs w:val="21"/>
        </w:rPr>
      </w:pPr>
      <w:r>
        <w:rPr>
          <w:rFonts w:hint="eastAsia" w:ascii="宋体" w:hAnsi="宋体"/>
          <w:szCs w:val="21"/>
        </w:rPr>
        <w:t>⑹.</w:t>
      </w:r>
      <w:r>
        <w:rPr>
          <w:rFonts w:ascii="宋体" w:hAnsi="宋体"/>
          <w:kern w:val="0"/>
          <w:szCs w:val="21"/>
        </w:rPr>
        <w:t xml:space="preserve"> </w:t>
      </w:r>
      <w:r>
        <w:rPr>
          <w:rFonts w:hint="eastAsia" w:ascii="宋体" w:hAnsi="宋体"/>
          <w:kern w:val="0"/>
          <w:szCs w:val="21"/>
        </w:rPr>
        <w:t>措施项目清单（一）：指按分部分项工程量清单的方式采用综合单价计价的措施项目；</w:t>
      </w:r>
    </w:p>
    <w:p w14:paraId="53034236">
      <w:pPr>
        <w:pStyle w:val="7"/>
        <w:spacing w:before="60" w:beforeLines="25" w:after="60" w:afterLines="25" w:line="360" w:lineRule="auto"/>
        <w:ind w:firstLine="392" w:firstLineChars="187"/>
        <w:rPr>
          <w:rFonts w:ascii="宋体" w:hAnsi="宋体"/>
          <w:szCs w:val="21"/>
        </w:rPr>
      </w:pPr>
      <w:r>
        <w:rPr>
          <w:rFonts w:hint="eastAsia" w:ascii="宋体" w:hAnsi="宋体"/>
          <w:szCs w:val="21"/>
        </w:rPr>
        <w:t>⑺.</w:t>
      </w:r>
      <w:r>
        <w:rPr>
          <w:rFonts w:hint="eastAsia" w:ascii="宋体" w:hAnsi="宋体"/>
          <w:kern w:val="0"/>
          <w:szCs w:val="21"/>
        </w:rPr>
        <w:t xml:space="preserve"> 其他项目清单汇总表</w:t>
      </w:r>
      <w:r>
        <w:rPr>
          <w:rFonts w:hint="eastAsia" w:ascii="宋体" w:hAnsi="宋体"/>
          <w:szCs w:val="21"/>
        </w:rPr>
        <w:t>；</w:t>
      </w:r>
    </w:p>
    <w:p w14:paraId="567ADDBC">
      <w:pPr>
        <w:pStyle w:val="7"/>
        <w:spacing w:before="60" w:beforeLines="25" w:after="60" w:afterLines="25" w:line="360" w:lineRule="auto"/>
        <w:ind w:firstLine="392" w:firstLineChars="187"/>
        <w:rPr>
          <w:rFonts w:ascii="宋体" w:hAnsi="宋体"/>
          <w:szCs w:val="21"/>
        </w:rPr>
      </w:pPr>
      <w:r>
        <w:rPr>
          <w:rFonts w:hint="eastAsia" w:ascii="宋体" w:hAnsi="宋体"/>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7AE33E50">
      <w:pPr>
        <w:adjustRightInd w:val="0"/>
        <w:snapToGrid w:val="0"/>
        <w:spacing w:line="360" w:lineRule="auto"/>
        <w:ind w:firstLine="420" w:firstLineChars="200"/>
        <w:rPr>
          <w:rFonts w:ascii="宋体" w:hAnsi="宋体"/>
          <w:kern w:val="0"/>
          <w:szCs w:val="21"/>
        </w:rPr>
      </w:pPr>
      <w:r>
        <w:rPr>
          <w:rFonts w:hint="eastAsia" w:ascii="宋体" w:hAnsi="宋体"/>
          <w:kern w:val="0"/>
          <w:szCs w:val="21"/>
        </w:rPr>
        <w:t>(8)材料设备暂估价表；</w:t>
      </w:r>
    </w:p>
    <w:p w14:paraId="52EC56CB">
      <w:pPr>
        <w:adjustRightInd w:val="0"/>
        <w:snapToGrid w:val="0"/>
        <w:spacing w:line="360" w:lineRule="auto"/>
        <w:ind w:firstLine="420" w:firstLineChars="200"/>
        <w:rPr>
          <w:rFonts w:ascii="宋体" w:hAnsi="宋体"/>
          <w:kern w:val="0"/>
          <w:szCs w:val="21"/>
        </w:rPr>
      </w:pPr>
      <w:r>
        <w:rPr>
          <w:rFonts w:hint="eastAsia" w:ascii="宋体" w:hAnsi="宋体"/>
          <w:kern w:val="0"/>
          <w:szCs w:val="21"/>
        </w:rPr>
        <w:t>(9)计日工表；</w:t>
      </w:r>
    </w:p>
    <w:p w14:paraId="037A7824">
      <w:pPr>
        <w:adjustRightInd w:val="0"/>
        <w:snapToGrid w:val="0"/>
        <w:spacing w:line="360" w:lineRule="auto"/>
        <w:ind w:firstLine="420" w:firstLineChars="200"/>
        <w:rPr>
          <w:rFonts w:ascii="宋体" w:hAnsi="宋体"/>
          <w:kern w:val="0"/>
          <w:szCs w:val="21"/>
        </w:rPr>
      </w:pPr>
      <w:r>
        <w:rPr>
          <w:rFonts w:hint="eastAsia" w:ascii="宋体" w:hAnsi="宋体"/>
          <w:kern w:val="0"/>
          <w:szCs w:val="21"/>
        </w:rPr>
        <w:t>(10)总承包服务费表；</w:t>
      </w:r>
    </w:p>
    <w:p w14:paraId="3659F044">
      <w:pPr>
        <w:adjustRightInd w:val="0"/>
        <w:snapToGrid w:val="0"/>
        <w:spacing w:line="360" w:lineRule="auto"/>
        <w:ind w:firstLine="420" w:firstLineChars="200"/>
        <w:rPr>
          <w:rFonts w:ascii="宋体" w:hAnsi="宋体"/>
          <w:kern w:val="0"/>
          <w:szCs w:val="21"/>
        </w:rPr>
      </w:pPr>
      <w:r>
        <w:rPr>
          <w:rFonts w:hint="eastAsia" w:ascii="宋体" w:hAnsi="宋体"/>
          <w:kern w:val="0"/>
          <w:szCs w:val="21"/>
        </w:rPr>
        <w:t>(11)发包人供应材料设备明细表：指招标人计划自行采购的材料设备的数量价格等情况。</w:t>
      </w:r>
    </w:p>
    <w:p w14:paraId="1138348B">
      <w:pPr>
        <w:adjustRightInd w:val="0"/>
        <w:snapToGrid w:val="0"/>
        <w:spacing w:line="360" w:lineRule="auto"/>
        <w:ind w:firstLine="420" w:firstLineChars="200"/>
        <w:rPr>
          <w:rFonts w:ascii="宋体" w:hAnsi="宋体"/>
          <w:kern w:val="0"/>
          <w:szCs w:val="21"/>
        </w:rPr>
      </w:pPr>
      <w:r>
        <w:rPr>
          <w:rFonts w:hint="eastAsia" w:ascii="宋体" w:hAnsi="宋体"/>
          <w:kern w:val="0"/>
          <w:szCs w:val="21"/>
        </w:rPr>
        <w:t>(12)规费、税金项目清单；</w:t>
      </w:r>
    </w:p>
    <w:p w14:paraId="7FD569E0">
      <w:pPr>
        <w:adjustRightInd w:val="0"/>
        <w:snapToGrid w:val="0"/>
        <w:spacing w:line="360" w:lineRule="auto"/>
        <w:ind w:firstLine="420" w:firstLineChars="200"/>
        <w:rPr>
          <w:rFonts w:ascii="宋体" w:hAnsi="宋体"/>
          <w:kern w:val="0"/>
          <w:szCs w:val="21"/>
        </w:rPr>
      </w:pPr>
      <w:r>
        <w:rPr>
          <w:rFonts w:hint="eastAsia" w:ascii="宋体" w:hAnsi="宋体"/>
          <w:kern w:val="0"/>
          <w:szCs w:val="21"/>
        </w:rPr>
        <w:t>(13)暂列金额明细表；</w:t>
      </w:r>
    </w:p>
    <w:p w14:paraId="5F8AE7C6">
      <w:pPr>
        <w:adjustRightInd w:val="0"/>
        <w:snapToGrid w:val="0"/>
        <w:spacing w:line="360" w:lineRule="auto"/>
        <w:ind w:firstLine="420" w:firstLineChars="200"/>
        <w:rPr>
          <w:rFonts w:ascii="宋体" w:hAnsi="宋体"/>
          <w:kern w:val="0"/>
          <w:szCs w:val="21"/>
        </w:rPr>
      </w:pPr>
      <w:r>
        <w:rPr>
          <w:rFonts w:hint="eastAsia" w:ascii="宋体" w:hAnsi="宋体"/>
          <w:kern w:val="0"/>
          <w:szCs w:val="21"/>
        </w:rPr>
        <w:t>(14)工程建设其他费：指招标人要求投标人完成的工程建设其他费项目。</w:t>
      </w:r>
    </w:p>
    <w:p w14:paraId="5B4F1DE7">
      <w:pPr>
        <w:pStyle w:val="7"/>
        <w:spacing w:before="60" w:beforeLines="25" w:after="60" w:afterLines="25" w:line="360" w:lineRule="auto"/>
        <w:ind w:firstLine="392" w:firstLineChars="187"/>
        <w:rPr>
          <w:rFonts w:ascii="宋体" w:hAnsi="宋体"/>
          <w:kern w:val="0"/>
          <w:szCs w:val="21"/>
        </w:rPr>
      </w:pPr>
      <w:r>
        <w:rPr>
          <w:rFonts w:hint="eastAsia" w:ascii="宋体" w:hAnsi="宋体"/>
          <w:kern w:val="0"/>
          <w:szCs w:val="21"/>
        </w:rPr>
        <w:t>(15)设备及工器具购置费：指招标工程中包含的不计算营业税的设备名称、规格、数量等情况。</w:t>
      </w:r>
    </w:p>
    <w:p w14:paraId="34454E69">
      <w:pPr>
        <w:pStyle w:val="7"/>
        <w:spacing w:before="60" w:beforeLines="25" w:after="60" w:afterLines="25" w:line="360" w:lineRule="auto"/>
        <w:ind w:firstLine="392" w:firstLineChars="187"/>
        <w:rPr>
          <w:rFonts w:ascii="宋体" w:hAnsi="宋体"/>
          <w:szCs w:val="21"/>
        </w:rPr>
      </w:pPr>
      <w:r>
        <w:rPr>
          <w:rFonts w:hint="eastAsia" w:ascii="宋体" w:hAnsi="宋体"/>
          <w:szCs w:val="21"/>
        </w:rPr>
        <w:t>5、本工程要求采用的工程量计算规则，应作为本工程招投标双方进行工程招投标和结算计量、计价的共同依据。</w:t>
      </w:r>
    </w:p>
    <w:p w14:paraId="12E06B83">
      <w:pPr>
        <w:pStyle w:val="7"/>
        <w:spacing w:before="60" w:beforeLines="25" w:after="60" w:afterLines="25" w:line="360" w:lineRule="auto"/>
        <w:ind w:firstLine="392" w:firstLineChars="187"/>
        <w:rPr>
          <w:rFonts w:ascii="宋体" w:hAnsi="宋体"/>
          <w:szCs w:val="21"/>
        </w:rPr>
      </w:pPr>
      <w:r>
        <w:rPr>
          <w:rFonts w:hint="eastAsia" w:ascii="宋体" w:hAnsi="宋体"/>
          <w:szCs w:val="21"/>
        </w:rPr>
        <w:t>6、本工程要求采用的工程量计算规则是</w:t>
      </w:r>
      <w:r>
        <w:rPr>
          <w:rFonts w:hint="eastAsia" w:ascii="宋体" w:hAnsi="宋体"/>
          <w:kern w:val="0"/>
          <w:szCs w:val="21"/>
        </w:rPr>
        <w:t>《13清单计价规范》及《13清单计价规范》补充规范（深圳2013）</w:t>
      </w:r>
      <w:r>
        <w:rPr>
          <w:rFonts w:hint="eastAsia" w:ascii="宋体" w:hAnsi="宋体"/>
          <w:szCs w:val="21"/>
        </w:rPr>
        <w:t>。</w:t>
      </w:r>
    </w:p>
    <w:p w14:paraId="3FA22D1C">
      <w:pPr>
        <w:pStyle w:val="7"/>
        <w:spacing w:before="60" w:beforeLines="25" w:after="60" w:afterLines="25" w:line="360" w:lineRule="auto"/>
        <w:ind w:firstLine="392" w:firstLineChars="187"/>
        <w:rPr>
          <w:rFonts w:ascii="宋体" w:hAnsi="宋体"/>
          <w:szCs w:val="21"/>
        </w:rPr>
      </w:pPr>
      <w:r>
        <w:rPr>
          <w:rFonts w:hint="eastAsia" w:ascii="宋体" w:hAnsi="宋体"/>
          <w:szCs w:val="21"/>
        </w:rPr>
        <w:t>7、对“分部分项工程量清单”的说明和报价要求</w:t>
      </w:r>
    </w:p>
    <w:p w14:paraId="0F03C29D">
      <w:pPr>
        <w:pStyle w:val="7"/>
        <w:spacing w:before="60" w:beforeLines="25" w:after="60" w:afterLines="25" w:line="360" w:lineRule="auto"/>
        <w:ind w:firstLine="392" w:firstLineChars="187"/>
        <w:rPr>
          <w:rFonts w:ascii="宋体" w:hAnsi="宋体"/>
          <w:szCs w:val="21"/>
        </w:rPr>
      </w:pPr>
      <w:r>
        <w:rPr>
          <w:rFonts w:hint="eastAsia" w:ascii="宋体" w:hAnsi="宋体"/>
          <w:szCs w:val="21"/>
        </w:rPr>
        <w:t>⑴.</w:t>
      </w:r>
      <w:r>
        <w:rPr>
          <w:rFonts w:hint="eastAsia"/>
        </w:rPr>
        <w:t>本工程采用中标价包干方式报价，投标人应依据本招标文件</w:t>
      </w:r>
      <w:r>
        <w:t>技术要求</w:t>
      </w:r>
      <w:r>
        <w:rPr>
          <w:rFonts w:hint="eastAsia"/>
        </w:rPr>
        <w:t>、提供的《工程量清单》、图纸和现场实际情况，按照工程量清单报价表格式编制投标总价</w:t>
      </w:r>
      <w:r>
        <w:rPr>
          <w:rFonts w:hint="eastAsia" w:ascii="宋体" w:hAnsi="宋体"/>
          <w:szCs w:val="21"/>
        </w:rPr>
        <w:t>。</w:t>
      </w:r>
    </w:p>
    <w:p w14:paraId="6955292E">
      <w:pPr>
        <w:pStyle w:val="7"/>
        <w:spacing w:before="60" w:beforeLines="25" w:after="60" w:afterLines="25" w:line="360" w:lineRule="auto"/>
        <w:ind w:firstLine="392" w:firstLineChars="187"/>
        <w:rPr>
          <w:rFonts w:ascii="宋体" w:hAnsi="宋体"/>
          <w:szCs w:val="21"/>
        </w:rPr>
      </w:pPr>
      <w:r>
        <w:rPr>
          <w:rFonts w:hint="eastAsia" w:ascii="宋体" w:hAnsi="宋体"/>
          <w:szCs w:val="21"/>
        </w:rPr>
        <w:t>⑵.该清单中所填入的综合单价和合价应包括直接成本（即人工、材料、机械）和费用（管理费、利润）、风险金等全部费用。但涉及到采购人自行采购的设备材料的项目不得计入材料设备的价格。</w:t>
      </w:r>
    </w:p>
    <w:p w14:paraId="1E49729E">
      <w:pPr>
        <w:pStyle w:val="7"/>
        <w:spacing w:before="60" w:beforeLines="25" w:after="60" w:afterLines="25" w:line="360" w:lineRule="auto"/>
        <w:ind w:firstLine="392" w:firstLineChars="187"/>
        <w:rPr>
          <w:rFonts w:ascii="宋体" w:hAnsi="宋体"/>
          <w:szCs w:val="21"/>
        </w:rPr>
      </w:pPr>
      <w:r>
        <w:rPr>
          <w:rFonts w:hint="eastAsia" w:ascii="宋体" w:hAnsi="宋体"/>
          <w:szCs w:val="21"/>
        </w:rPr>
        <w:t>⑶. 该清单中不再重复或概括工程及材料的一般说明，在编制和填写工程量清单的每一项的综合单价和合价时应参考投标须知和合同条件的有关条款。</w:t>
      </w:r>
    </w:p>
    <w:p w14:paraId="229E2C3C">
      <w:pPr>
        <w:pStyle w:val="7"/>
        <w:spacing w:before="60" w:beforeLines="25" w:after="60" w:afterLines="25" w:line="360" w:lineRule="auto"/>
        <w:ind w:firstLine="392" w:firstLineChars="187"/>
        <w:rPr>
          <w:rFonts w:ascii="宋体" w:hAnsi="宋体"/>
          <w:szCs w:val="21"/>
        </w:rPr>
      </w:pPr>
      <w:r>
        <w:rPr>
          <w:rFonts w:hint="eastAsia" w:ascii="宋体" w:hAnsi="宋体"/>
          <w:szCs w:val="21"/>
        </w:rPr>
        <w:t>⑷.该清单的各项目说明中含有“暂定材料设备单价”的，应明确说明此单价是否包括运输费、采保费等费用。投标时投标人不得修改。结算时，应按本招标文件的合同条件中约定的方法调整。</w:t>
      </w:r>
    </w:p>
    <w:p w14:paraId="3CB8D8F4">
      <w:pPr>
        <w:pStyle w:val="7"/>
        <w:spacing w:before="60" w:beforeLines="25" w:after="60" w:afterLines="25" w:line="360" w:lineRule="auto"/>
        <w:ind w:firstLine="392" w:firstLineChars="187"/>
        <w:rPr>
          <w:rFonts w:ascii="宋体" w:hAnsi="宋体"/>
          <w:szCs w:val="21"/>
        </w:rPr>
      </w:pPr>
      <w:r>
        <w:rPr>
          <w:rFonts w:hint="eastAsia" w:ascii="宋体" w:hAnsi="宋体"/>
          <w:szCs w:val="21"/>
        </w:rPr>
        <w:t>⑸.针对该清单，投标人报价时应提供 “分部分项工程量清单综合单价分析表”。</w:t>
      </w:r>
    </w:p>
    <w:p w14:paraId="64806B5E">
      <w:pPr>
        <w:pStyle w:val="7"/>
        <w:spacing w:before="60" w:beforeLines="25" w:after="60" w:afterLines="25" w:line="360" w:lineRule="auto"/>
        <w:ind w:firstLine="392" w:firstLineChars="187"/>
        <w:rPr>
          <w:rFonts w:ascii="宋体" w:hAnsi="宋体"/>
          <w:szCs w:val="21"/>
        </w:rPr>
      </w:pPr>
      <w:r>
        <w:rPr>
          <w:rFonts w:hint="eastAsia" w:ascii="宋体" w:hAnsi="宋体"/>
          <w:szCs w:val="21"/>
        </w:rPr>
        <w:t>8、对</w:t>
      </w:r>
      <w:r>
        <w:rPr>
          <w:rFonts w:ascii="宋体" w:hAnsi="宋体"/>
          <w:szCs w:val="21"/>
        </w:rPr>
        <w:t>“</w:t>
      </w:r>
      <w:r>
        <w:rPr>
          <w:rFonts w:hint="eastAsia" w:ascii="宋体" w:hAnsi="宋体"/>
          <w:szCs w:val="21"/>
        </w:rPr>
        <w:t>措施项目清单</w:t>
      </w:r>
      <w:r>
        <w:rPr>
          <w:rFonts w:ascii="宋体" w:hAnsi="宋体"/>
          <w:szCs w:val="21"/>
        </w:rPr>
        <w:t>”</w:t>
      </w:r>
      <w:r>
        <w:rPr>
          <w:rFonts w:hint="eastAsia" w:ascii="宋体" w:hAnsi="宋体"/>
          <w:szCs w:val="21"/>
        </w:rPr>
        <w:t>的说明和报价要求：</w:t>
      </w:r>
    </w:p>
    <w:p w14:paraId="2872B977">
      <w:pPr>
        <w:pStyle w:val="7"/>
        <w:spacing w:before="60" w:beforeLines="25" w:after="60" w:afterLines="25" w:line="360" w:lineRule="auto"/>
        <w:ind w:firstLine="392" w:firstLineChars="187"/>
        <w:rPr>
          <w:rFonts w:ascii="宋体" w:hAnsi="宋体"/>
          <w:szCs w:val="21"/>
        </w:rPr>
      </w:pPr>
      <w:r>
        <w:rPr>
          <w:rFonts w:hint="eastAsia" w:ascii="宋体" w:hAnsi="宋体"/>
          <w:szCs w:val="21"/>
        </w:rPr>
        <w:t>⑴</w:t>
      </w:r>
      <w:r>
        <w:rPr>
          <w:rFonts w:ascii="宋体" w:hAnsi="宋体"/>
          <w:szCs w:val="21"/>
        </w:rPr>
        <w:t>.</w:t>
      </w:r>
      <w:r>
        <w:rPr>
          <w:rFonts w:hint="eastAsia" w:ascii="宋体" w:hAnsi="宋体"/>
          <w:szCs w:val="21"/>
        </w:rPr>
        <w:t>该清单所列项目均以</w:t>
      </w:r>
      <w:r>
        <w:rPr>
          <w:rFonts w:ascii="宋体" w:hAnsi="宋体"/>
          <w:szCs w:val="21"/>
        </w:rPr>
        <w:t>“</w:t>
      </w:r>
      <w:r>
        <w:rPr>
          <w:rFonts w:hint="eastAsia" w:ascii="宋体" w:hAnsi="宋体"/>
          <w:szCs w:val="21"/>
        </w:rPr>
        <w:t>一项</w:t>
      </w:r>
      <w:r>
        <w:rPr>
          <w:rFonts w:ascii="宋体" w:hAnsi="宋体"/>
          <w:szCs w:val="21"/>
        </w:rPr>
        <w:t>”</w:t>
      </w:r>
      <w:r>
        <w:rPr>
          <w:rFonts w:hint="eastAsia" w:ascii="宋体" w:hAnsi="宋体"/>
          <w:szCs w:val="21"/>
        </w:rPr>
        <w:t>提出，是采购人根据一般情况估计的项目，投标人实际措施项目不同的，可以对具体列项内容进行调整。</w:t>
      </w:r>
    </w:p>
    <w:p w14:paraId="2099BB62">
      <w:pPr>
        <w:pStyle w:val="7"/>
        <w:spacing w:before="60" w:beforeLines="25" w:after="60" w:afterLines="25" w:line="360" w:lineRule="auto"/>
        <w:ind w:firstLine="392" w:firstLineChars="187"/>
        <w:rPr>
          <w:rFonts w:ascii="宋体" w:hAnsi="宋体"/>
          <w:szCs w:val="21"/>
        </w:rPr>
      </w:pPr>
      <w:r>
        <w:rPr>
          <w:rFonts w:hint="eastAsia" w:ascii="宋体" w:hAnsi="宋体"/>
          <w:szCs w:val="21"/>
        </w:rPr>
        <w:t>⑵</w:t>
      </w:r>
      <w:r>
        <w:rPr>
          <w:rFonts w:ascii="宋体" w:hAnsi="宋体"/>
          <w:szCs w:val="21"/>
        </w:rPr>
        <w:t>.</w:t>
      </w:r>
      <w:r>
        <w:rPr>
          <w:rFonts w:hint="eastAsia" w:ascii="宋体" w:hAnsi="宋体"/>
          <w:kern w:val="0"/>
          <w:szCs w:val="21"/>
        </w:rPr>
        <w:t xml:space="preserve"> 该清单中以“项”为单位的措施项目，投标人填报的价格应包括除规费、税金外的全部费用。</w:t>
      </w:r>
    </w:p>
    <w:p w14:paraId="3161C7D9">
      <w:pPr>
        <w:adjustRightInd w:val="0"/>
        <w:snapToGrid w:val="0"/>
        <w:spacing w:line="360" w:lineRule="auto"/>
        <w:ind w:firstLine="420" w:firstLineChars="200"/>
        <w:rPr>
          <w:rFonts w:ascii="宋体" w:hAnsi="宋体"/>
          <w:kern w:val="0"/>
          <w:szCs w:val="21"/>
        </w:rPr>
      </w:pPr>
      <w:r>
        <w:rPr>
          <w:rFonts w:hint="eastAsia" w:ascii="宋体" w:hAnsi="宋体"/>
          <w:kern w:val="0"/>
          <w:szCs w:val="21"/>
        </w:rPr>
        <w:t>措施项目中可以计算工程量的项目，投标人应根据招标人在“措施项目清单（一）”提供的工程量填报综合单价和合价。该清单所列的工程量系招标人的估算，是临时的，是投标人报价的共同基础。不被理解为是对招标人要求工作内容的全部定义，也不能作为投标人应完成的实际工程量。所填入的综合单价和合价应包括人工费、材料费、施工机械使用费和企业管理费与利润，以及一定范围内的风险费用。</w:t>
      </w:r>
    </w:p>
    <w:p w14:paraId="1EECA2BE">
      <w:pPr>
        <w:adjustRightInd w:val="0"/>
        <w:snapToGrid w:val="0"/>
        <w:spacing w:line="360" w:lineRule="auto"/>
        <w:ind w:firstLine="420" w:firstLineChars="200"/>
        <w:rPr>
          <w:rFonts w:ascii="宋体" w:hAnsi="宋体"/>
          <w:kern w:val="0"/>
          <w:szCs w:val="21"/>
        </w:rPr>
      </w:pPr>
      <w:r>
        <w:rPr>
          <w:rFonts w:hint="eastAsia" w:ascii="宋体" w:hAnsi="宋体"/>
          <w:kern w:val="0"/>
          <w:szCs w:val="21"/>
        </w:rPr>
        <w:t>⑶.针对该清单，要求投标人报价时提供“措施项目清单与计价表（二）”。</w:t>
      </w:r>
    </w:p>
    <w:p w14:paraId="0F117BCE">
      <w:pPr>
        <w:adjustRightInd w:val="0"/>
        <w:snapToGrid w:val="0"/>
        <w:spacing w:line="360" w:lineRule="auto"/>
        <w:ind w:firstLine="420" w:firstLineChars="200"/>
        <w:rPr>
          <w:rFonts w:ascii="宋体" w:hAnsi="宋体"/>
          <w:kern w:val="0"/>
          <w:szCs w:val="21"/>
        </w:rPr>
      </w:pPr>
      <w:r>
        <w:rPr>
          <w:rFonts w:hint="eastAsia" w:ascii="宋体" w:hAnsi="宋体"/>
          <w:kern w:val="0"/>
          <w:szCs w:val="21"/>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编制招标控制价时，招标人按现行《深圳市建设工程计价费率标准》中的费率确定“安全文明施工措施费”费用。</w:t>
      </w:r>
    </w:p>
    <w:p w14:paraId="7DEE5101">
      <w:pPr>
        <w:adjustRightInd w:val="0"/>
        <w:snapToGrid w:val="0"/>
        <w:spacing w:line="360" w:lineRule="auto"/>
        <w:ind w:firstLine="420" w:firstLineChars="200"/>
        <w:rPr>
          <w:rFonts w:ascii="宋体" w:hAnsi="宋体"/>
          <w:kern w:val="0"/>
          <w:szCs w:val="21"/>
        </w:rPr>
      </w:pPr>
      <w:r>
        <w:rPr>
          <w:rFonts w:hint="eastAsia" w:ascii="宋体" w:hAnsi="宋体"/>
          <w:kern w:val="0"/>
          <w:szCs w:val="21"/>
        </w:rPr>
        <w:t>投标人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14:paraId="256579D4">
      <w:pPr>
        <w:adjustRightInd w:val="0"/>
        <w:snapToGrid w:val="0"/>
        <w:spacing w:line="360" w:lineRule="auto"/>
        <w:ind w:firstLine="420" w:firstLineChars="200"/>
        <w:rPr>
          <w:rFonts w:ascii="宋体" w:hAnsi="宋体"/>
          <w:kern w:val="0"/>
          <w:szCs w:val="21"/>
        </w:rPr>
      </w:pPr>
      <w:r>
        <w:rPr>
          <w:rFonts w:hint="eastAsia" w:ascii="宋体" w:hAnsi="宋体"/>
          <w:kern w:val="0"/>
          <w:szCs w:val="21"/>
        </w:rPr>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14:paraId="3654B868">
      <w:pPr>
        <w:adjustRightInd w:val="0"/>
        <w:snapToGrid w:val="0"/>
        <w:spacing w:line="360" w:lineRule="auto"/>
        <w:ind w:firstLine="420" w:firstLineChars="200"/>
        <w:rPr>
          <w:rFonts w:ascii="宋体" w:hAnsi="宋体"/>
          <w:kern w:val="0"/>
          <w:szCs w:val="21"/>
        </w:rPr>
      </w:pPr>
      <w:r>
        <w:rPr>
          <w:rFonts w:hint="eastAsia" w:ascii="宋体" w:hAnsi="宋体"/>
          <w:kern w:val="0"/>
          <w:szCs w:val="21"/>
        </w:rPr>
        <w:t>投标人应当按照本招标文件的规定，结合自身实际及施工组织设计或施工方案，确定投标工期，自主填报夜间施工费和赶工措施费，并计入投标总价。</w:t>
      </w:r>
    </w:p>
    <w:p w14:paraId="637A34A2">
      <w:pPr>
        <w:adjustRightInd w:val="0"/>
        <w:snapToGrid w:val="0"/>
        <w:spacing w:line="360" w:lineRule="auto"/>
        <w:ind w:firstLine="420" w:firstLineChars="200"/>
        <w:rPr>
          <w:rFonts w:ascii="宋体" w:hAnsi="宋体"/>
          <w:kern w:val="0"/>
          <w:szCs w:val="21"/>
        </w:rPr>
      </w:pPr>
      <w:r>
        <w:rPr>
          <w:rFonts w:hint="eastAsia" w:ascii="宋体" w:hAnsi="宋体"/>
          <w:kern w:val="0"/>
          <w:szCs w:val="21"/>
        </w:rPr>
        <w:t>9、对“其他项目清单”的说明和报价要求：</w:t>
      </w:r>
    </w:p>
    <w:p w14:paraId="32C46033">
      <w:pPr>
        <w:adjustRightInd w:val="0"/>
        <w:snapToGrid w:val="0"/>
        <w:spacing w:line="360" w:lineRule="auto"/>
        <w:ind w:firstLine="420" w:firstLineChars="200"/>
        <w:rPr>
          <w:rFonts w:ascii="宋体" w:hAnsi="宋体"/>
          <w:kern w:val="0"/>
          <w:szCs w:val="21"/>
        </w:rPr>
      </w:pPr>
      <w:r>
        <w:rPr>
          <w:rFonts w:hint="eastAsia" w:ascii="宋体" w:hAnsi="宋体"/>
          <w:kern w:val="0"/>
          <w:szCs w:val="21"/>
        </w:rPr>
        <w:t>(1)材料设备暂估价指招标人提供的用于支付必然发生但暂时不能确定价格的材料、设备的清单。投标时，投标人应将材料设备的暂估单价计入分部分项工程量清单综合单价报价中。结算时，按发、承包双方最终确认的价格调整价差，价差部分不计利润。</w:t>
      </w:r>
    </w:p>
    <w:p w14:paraId="428769E1">
      <w:pPr>
        <w:adjustRightInd w:val="0"/>
        <w:snapToGrid w:val="0"/>
        <w:spacing w:line="360" w:lineRule="auto"/>
        <w:ind w:firstLine="420" w:firstLineChars="200"/>
        <w:rPr>
          <w:rFonts w:ascii="宋体" w:hAnsi="宋体"/>
          <w:kern w:val="0"/>
          <w:szCs w:val="21"/>
        </w:rPr>
      </w:pPr>
      <w:r>
        <w:rPr>
          <w:rFonts w:hint="eastAsia" w:ascii="宋体" w:hAnsi="宋体"/>
          <w:kern w:val="0"/>
          <w:szCs w:val="21"/>
        </w:rPr>
        <w:t>(2)计日工指招标人提出的施工图纸以外的零星项目或工作。投标时，投标人应根据招标人提出的计日工表的要求自主确定综合单价，计算汇总后计入其他项目清单汇总表。</w:t>
      </w:r>
    </w:p>
    <w:p w14:paraId="1CB10CCC">
      <w:pPr>
        <w:adjustRightInd w:val="0"/>
        <w:snapToGrid w:val="0"/>
        <w:spacing w:line="360" w:lineRule="auto"/>
        <w:ind w:firstLine="420" w:firstLineChars="200"/>
        <w:rPr>
          <w:rFonts w:ascii="宋体" w:hAnsi="宋体"/>
          <w:kern w:val="0"/>
          <w:szCs w:val="21"/>
        </w:rPr>
      </w:pPr>
      <w:r>
        <w:rPr>
          <w:rFonts w:hint="eastAsia" w:ascii="宋体" w:hAnsi="宋体"/>
          <w:kern w:val="0"/>
          <w:szCs w:val="21"/>
        </w:rPr>
        <w:t>(3)总承包服务费包括分包管理费、总分包配合费、发包人供应材料设备保管费。投标时，投标人根据招标人提出的分包专业工程内容和供应材料、设备情况，按照招标人提出的协调、配合与服务内容和施工现场管理需要，自主确定总承包服务费各项目费率。其中分包管理费和总分包配合费以分包工程合同造价为计算基数；发包人供应材料设备保管费应根据“发包人供应材料设备明细表”中合计金额为计算基数。</w:t>
      </w:r>
    </w:p>
    <w:p w14:paraId="58DFD3CA">
      <w:pPr>
        <w:spacing w:line="360" w:lineRule="auto"/>
        <w:ind w:firstLine="424" w:firstLineChars="202"/>
        <w:rPr>
          <w:rFonts w:ascii="宋体" w:hAnsi="宋体"/>
          <w:szCs w:val="21"/>
        </w:rPr>
      </w:pPr>
      <w:r>
        <w:rPr>
          <w:rFonts w:hint="eastAsia" w:ascii="宋体" w:hAnsi="宋体"/>
          <w:kern w:val="0"/>
          <w:szCs w:val="21"/>
        </w:rPr>
        <w:t>10、工程量清单作为本招标文件的组成部分，其准确性和完整性由招标人负责。如发现招标人提供的工程量清单的项目及工程量与图纸实际不符时，除招标文件另有要求外，投标人应在</w:t>
      </w:r>
      <w:r>
        <w:rPr>
          <w:rFonts w:hint="eastAsia" w:ascii="宋体" w:hAnsi="宋体"/>
          <w:szCs w:val="21"/>
        </w:rPr>
        <w:t>答疑期间</w:t>
      </w:r>
      <w:r>
        <w:rPr>
          <w:rFonts w:hint="eastAsia" w:ascii="宋体" w:hAnsi="宋体"/>
          <w:kern w:val="0"/>
          <w:szCs w:val="21"/>
        </w:rPr>
        <w:t>提出，</w:t>
      </w:r>
      <w:r>
        <w:rPr>
          <w:rFonts w:hint="eastAsia" w:ascii="宋体" w:hAnsi="宋体"/>
          <w:szCs w:val="21"/>
        </w:rPr>
        <w:t>采购人应进行复核并在网上发出修正。如没有做出修正，投标人仍应按原提供的项目及工程量报价，并将项差与量差体现在报价中，并在备注中注明，但不得对工程量清单进行修改。</w:t>
      </w:r>
    </w:p>
    <w:p w14:paraId="64C6C74A">
      <w:pPr>
        <w:spacing w:line="360" w:lineRule="auto"/>
      </w:pPr>
    </w:p>
    <w:p w14:paraId="77EF19F4">
      <w:pPr>
        <w:pStyle w:val="5"/>
        <w:spacing w:before="120" w:beforeLines="50" w:after="120" w:afterLines="50" w:line="360" w:lineRule="auto"/>
        <w:rPr>
          <w:sz w:val="28"/>
          <w:szCs w:val="28"/>
        </w:rPr>
      </w:pPr>
      <w:r>
        <w:rPr>
          <w:rFonts w:hint="eastAsia"/>
          <w:sz w:val="28"/>
          <w:szCs w:val="28"/>
        </w:rPr>
        <w:t xml:space="preserve">七、项目商务要求 </w:t>
      </w:r>
    </w:p>
    <w:p w14:paraId="4589B041">
      <w:pPr>
        <w:spacing w:line="360" w:lineRule="auto"/>
        <w:rPr>
          <w:rFonts w:asciiTheme="minorEastAsia" w:hAnsiTheme="minorEastAsia" w:eastAsiaTheme="minorEastAsia"/>
        </w:rPr>
      </w:pPr>
      <w:r>
        <w:rPr>
          <w:rFonts w:hint="eastAsia" w:ascii="宋体" w:hAnsi="宋体" w:cs="宋体"/>
          <w:b/>
          <w:highlight w:val="yellow"/>
        </w:rPr>
        <w:t>★1、项目工期要求: 合同签订后</w:t>
      </w:r>
      <w:r>
        <w:rPr>
          <w:rFonts w:hint="eastAsia" w:ascii="宋体" w:hAnsi="宋体" w:cs="宋体"/>
          <w:b/>
          <w:highlight w:val="yellow"/>
          <w:lang w:val="en-US" w:eastAsia="zh-CN"/>
        </w:rPr>
        <w:t>90</w:t>
      </w:r>
      <w:r>
        <w:rPr>
          <w:rFonts w:hint="eastAsia" w:ascii="宋体" w:hAnsi="宋体" w:cs="宋体"/>
          <w:b/>
          <w:highlight w:val="yellow"/>
        </w:rPr>
        <w:t>个日历天内。</w:t>
      </w:r>
    </w:p>
    <w:p w14:paraId="67F95787">
      <w:pPr>
        <w:spacing w:line="360" w:lineRule="auto"/>
        <w:rPr>
          <w:rFonts w:asciiTheme="minorEastAsia" w:hAnsiTheme="minorEastAsia" w:eastAsiaTheme="minorEastAsia"/>
          <w:b/>
        </w:rPr>
      </w:pPr>
      <w:r>
        <w:rPr>
          <w:rFonts w:hint="eastAsia" w:asciiTheme="minorEastAsia" w:hAnsiTheme="minorEastAsia" w:eastAsiaTheme="minorEastAsia"/>
          <w:b/>
        </w:rPr>
        <w:t>2、报价要求:</w:t>
      </w:r>
    </w:p>
    <w:p w14:paraId="4214A116">
      <w:pPr>
        <w:spacing w:line="360" w:lineRule="auto"/>
      </w:pPr>
      <w:r>
        <w:rPr>
          <w:rFonts w:hint="eastAsia" w:asciiTheme="minorEastAsia" w:hAnsiTheme="minorEastAsia" w:eastAsiaTheme="minorEastAsia"/>
        </w:rPr>
        <w:t>（1）本项目采用固定总价合同，投标报价应包括但不限于材料费、人工费和安装费以及税金等全部费用，采购人无须支付合同金额之外的任何其他费用。</w:t>
      </w:r>
    </w:p>
    <w:p w14:paraId="5282ABD3">
      <w:pPr>
        <w:spacing w:line="360" w:lineRule="auto"/>
        <w:rPr>
          <w:rFonts w:asciiTheme="minorEastAsia" w:hAnsiTheme="minorEastAsia"/>
        </w:rPr>
      </w:pPr>
      <w:r>
        <w:rPr>
          <w:rFonts w:hint="eastAsia" w:ascii="宋体" w:hAnsi="宋体" w:cs="宋体"/>
          <w:b/>
          <w:bCs/>
          <w:highlight w:val="yellow"/>
        </w:rPr>
        <w:t>★（2）本项目预算金额为：</w:t>
      </w:r>
      <w:r>
        <w:rPr>
          <w:rFonts w:hint="eastAsia" w:ascii="宋体" w:hAnsi="宋体" w:cs="宋体"/>
          <w:b/>
          <w:bCs/>
          <w:highlight w:val="yellow"/>
          <w:lang w:eastAsia="zh-CN"/>
        </w:rPr>
        <w:t>1,450,000.00</w:t>
      </w:r>
      <w:r>
        <w:rPr>
          <w:rFonts w:hint="eastAsia" w:ascii="宋体" w:hAnsi="宋体" w:cs="宋体"/>
          <w:b/>
          <w:bCs/>
          <w:highlight w:val="yellow"/>
        </w:rPr>
        <w:t>元。投标人报价不允许超过项目预算金额，否则视为无效报价。</w:t>
      </w:r>
    </w:p>
    <w:p w14:paraId="27EFED26">
      <w:pPr>
        <w:spacing w:line="360" w:lineRule="auto"/>
        <w:rPr>
          <w:rFonts w:asciiTheme="minorEastAsia" w:hAnsiTheme="minorEastAsia"/>
        </w:rPr>
      </w:pPr>
      <w:r>
        <w:rPr>
          <w:rFonts w:hint="eastAsia" w:asciiTheme="minorEastAsia" w:hAnsiTheme="minorEastAsia"/>
          <w:b/>
          <w:bCs/>
          <w:highlight w:val="yellow"/>
        </w:rPr>
        <w:t>★（3）投标报价包含不可竞争费用：施工单位现场安全文明施工措施费：27,117.26元；投标人报价应包含此部分费用且不可变动，否则视为投标无效。</w:t>
      </w:r>
    </w:p>
    <w:p w14:paraId="2C6B44AE">
      <w:pPr>
        <w:spacing w:line="360" w:lineRule="auto"/>
        <w:rPr>
          <w:rFonts w:asciiTheme="minorEastAsia" w:hAnsiTheme="minorEastAsia" w:eastAsiaTheme="minorEastAsia"/>
          <w:b/>
        </w:rPr>
      </w:pPr>
      <w:r>
        <w:rPr>
          <w:rFonts w:hint="eastAsia" w:asciiTheme="minorEastAsia" w:hAnsiTheme="minorEastAsia" w:eastAsiaTheme="minorEastAsia"/>
          <w:b/>
        </w:rPr>
        <w:t>3、付款方式:</w:t>
      </w:r>
    </w:p>
    <w:p w14:paraId="4C84AE33">
      <w:pPr>
        <w:spacing w:line="360" w:lineRule="auto"/>
        <w:rPr>
          <w:rFonts w:asciiTheme="minorEastAsia" w:hAnsiTheme="minorEastAsia" w:eastAsiaTheme="minorEastAsia"/>
        </w:rPr>
      </w:pPr>
      <w:r>
        <w:rPr>
          <w:rFonts w:hint="eastAsia" w:asciiTheme="minorEastAsia" w:hAnsiTheme="minorEastAsia" w:eastAsiaTheme="minorEastAsia"/>
        </w:rPr>
        <w:t>（1）预付款金额为合同金额的30%；进度完成总工程量的70%时可支付30%进度款；</w:t>
      </w:r>
    </w:p>
    <w:p w14:paraId="5F708630">
      <w:pPr>
        <w:spacing w:line="360" w:lineRule="auto"/>
        <w:rPr>
          <w:rFonts w:asciiTheme="minorEastAsia" w:hAnsiTheme="minorEastAsia" w:eastAsiaTheme="minorEastAsia"/>
        </w:rPr>
      </w:pPr>
      <w:r>
        <w:rPr>
          <w:rFonts w:hint="eastAsia" w:asciiTheme="minorEastAsia" w:hAnsiTheme="minorEastAsia" w:eastAsiaTheme="minorEastAsia"/>
        </w:rPr>
        <w:t>（2）竣工验收合格并完成结算审核后，如审核总价高于合同价，按合同价结算至合同金额的97%，如审核总价低于合同价，则支付至审核总价的97%；合同金额或审核总价剩余3%尾款作为项目保修金，质保期（两年）满，工程不存在质量问题，结清该款项；</w:t>
      </w:r>
    </w:p>
    <w:p w14:paraId="4A144DB0">
      <w:pPr>
        <w:spacing w:line="360" w:lineRule="auto"/>
        <w:rPr>
          <w:rFonts w:asciiTheme="minorEastAsia" w:hAnsiTheme="minorEastAsia" w:eastAsiaTheme="minorEastAsia"/>
        </w:rPr>
      </w:pPr>
      <w:r>
        <w:rPr>
          <w:rFonts w:hint="eastAsia" w:asciiTheme="minorEastAsia" w:hAnsiTheme="minorEastAsia" w:eastAsiaTheme="minorEastAsia"/>
        </w:rPr>
        <w:t>（3）中标人提交的付款申请须附上相关的文件（包括验收报告、与实际发生价款相应的发票等），预付款只需提供发票及合同。</w:t>
      </w:r>
    </w:p>
    <w:p w14:paraId="24CA02F6">
      <w:pPr>
        <w:spacing w:line="360" w:lineRule="auto"/>
        <w:rPr>
          <w:rFonts w:asciiTheme="minorEastAsia" w:hAnsiTheme="minorEastAsia" w:eastAsiaTheme="minorEastAsia"/>
          <w:b/>
        </w:rPr>
      </w:pPr>
      <w:r>
        <w:rPr>
          <w:rFonts w:hint="eastAsia" w:asciiTheme="minorEastAsia" w:hAnsiTheme="minorEastAsia" w:eastAsiaTheme="minorEastAsia"/>
          <w:b/>
        </w:rPr>
        <w:t>4、保修、售后服务要求:</w:t>
      </w:r>
    </w:p>
    <w:p w14:paraId="113C1A1C">
      <w:pPr>
        <w:spacing w:line="360" w:lineRule="auto"/>
        <w:rPr>
          <w:rFonts w:hint="eastAsia" w:ascii="宋体" w:hAnsi="宋体" w:eastAsia="宋体" w:cs="宋体"/>
          <w:b/>
          <w:bCs/>
          <w:highlight w:val="yellow"/>
        </w:rPr>
      </w:pPr>
      <w:r>
        <w:rPr>
          <w:rFonts w:hint="eastAsia" w:ascii="宋体" w:hAnsi="宋体" w:eastAsia="宋体" w:cs="宋体"/>
          <w:b/>
          <w:bCs/>
          <w:highlight w:val="yellow"/>
        </w:rPr>
        <w:t>★（1）本项目防水保修期为5年，装修保修期为</w:t>
      </w:r>
      <w:r>
        <w:rPr>
          <w:rFonts w:hint="eastAsia" w:ascii="宋体" w:hAnsi="宋体" w:eastAsia="宋体" w:cs="宋体"/>
          <w:b/>
          <w:bCs/>
          <w:highlight w:val="yellow"/>
          <w:lang w:val="en-US" w:eastAsia="zh-CN"/>
        </w:rPr>
        <w:t>2</w:t>
      </w:r>
      <w:r>
        <w:rPr>
          <w:rFonts w:hint="eastAsia" w:ascii="宋体" w:hAnsi="宋体" w:eastAsia="宋体" w:cs="宋体"/>
          <w:b/>
          <w:bCs/>
          <w:highlight w:val="yellow"/>
        </w:rPr>
        <w:t>年</w:t>
      </w:r>
      <w:r>
        <w:rPr>
          <w:rFonts w:hint="eastAsia" w:ascii="宋体" w:hAnsi="宋体" w:eastAsia="宋体" w:cs="宋体"/>
          <w:b/>
          <w:bCs/>
          <w:highlight w:val="yellow"/>
          <w:lang w:eastAsia="zh-CN"/>
        </w:rPr>
        <w:t>，</w:t>
      </w:r>
      <w:r>
        <w:rPr>
          <w:rFonts w:hint="eastAsia" w:ascii="宋体" w:hAnsi="宋体" w:eastAsia="宋体" w:cs="宋体"/>
          <w:b/>
          <w:bCs/>
          <w:highlight w:val="yellow"/>
        </w:rPr>
        <w:t>其他保修期为</w:t>
      </w:r>
      <w:r>
        <w:rPr>
          <w:rFonts w:hint="eastAsia" w:ascii="宋体" w:hAnsi="宋体" w:eastAsia="宋体" w:cs="宋体"/>
          <w:b/>
          <w:bCs/>
          <w:highlight w:val="yellow"/>
          <w:lang w:val="en-US" w:eastAsia="zh-CN"/>
        </w:rPr>
        <w:t>3</w:t>
      </w:r>
      <w:r>
        <w:rPr>
          <w:rFonts w:hint="eastAsia" w:ascii="宋体" w:hAnsi="宋体" w:eastAsia="宋体" w:cs="宋体"/>
          <w:b/>
          <w:bCs/>
          <w:highlight w:val="yellow"/>
        </w:rPr>
        <w:t>年（含提供的</w:t>
      </w:r>
      <w:r>
        <w:rPr>
          <w:rFonts w:hint="eastAsia" w:ascii="宋体" w:hAnsi="宋体" w:eastAsia="宋体" w:cs="宋体"/>
          <w:b/>
          <w:bCs/>
          <w:highlight w:val="yellow"/>
          <w:lang w:val="en-US" w:eastAsia="zh-CN"/>
        </w:rPr>
        <w:t>所有</w:t>
      </w:r>
      <w:r>
        <w:rPr>
          <w:rFonts w:hint="eastAsia" w:ascii="宋体" w:hAnsi="宋体" w:eastAsia="宋体" w:cs="宋体"/>
          <w:b/>
          <w:bCs/>
          <w:highlight w:val="yellow"/>
        </w:rPr>
        <w:t>设备），免费保修期内</w:t>
      </w:r>
      <w:r>
        <w:rPr>
          <w:rFonts w:hint="eastAsia" w:ascii="宋体" w:hAnsi="宋体" w:eastAsia="宋体" w:cs="宋体"/>
          <w:b/>
          <w:bCs/>
          <w:highlight w:val="yellow"/>
          <w:lang w:val="en-US" w:eastAsia="zh-CN"/>
        </w:rPr>
        <w:t>中标人</w:t>
      </w:r>
      <w:r>
        <w:rPr>
          <w:rFonts w:hint="eastAsia" w:ascii="宋体" w:hAnsi="宋体" w:eastAsia="宋体" w:cs="宋体"/>
          <w:b/>
          <w:bCs/>
          <w:highlight w:val="yellow"/>
        </w:rPr>
        <w:t>提供免费上门质保服务，时间自通过采购人及使用单位验收并移交完整竣工资料之日起计算；</w:t>
      </w:r>
    </w:p>
    <w:p w14:paraId="026A7F1D">
      <w:pPr>
        <w:spacing w:line="360" w:lineRule="auto"/>
        <w:rPr>
          <w:rFonts w:hint="eastAsia" w:ascii="宋体" w:hAnsi="宋体" w:eastAsia="宋体" w:cs="宋体"/>
          <w:b/>
          <w:bCs/>
          <w:highlight w:val="yellow"/>
          <w:lang w:eastAsia="zh-CN"/>
        </w:rPr>
      </w:pPr>
      <w:r>
        <w:rPr>
          <w:rFonts w:hint="eastAsia" w:ascii="宋体" w:hAnsi="宋体" w:eastAsia="宋体" w:cs="宋体"/>
          <w:b/>
          <w:bCs/>
          <w:highlight w:val="yellow"/>
        </w:rPr>
        <w:t>★</w:t>
      </w:r>
      <w:r>
        <w:rPr>
          <w:rFonts w:hint="eastAsia" w:ascii="宋体" w:hAnsi="宋体" w:eastAsia="宋体" w:cs="宋体"/>
          <w:b/>
          <w:bCs/>
          <w:highlight w:val="yellow"/>
          <w:lang w:eastAsia="zh-CN"/>
        </w:rPr>
        <w:t>（</w:t>
      </w:r>
      <w:r>
        <w:rPr>
          <w:rFonts w:hint="eastAsia" w:ascii="宋体" w:hAnsi="宋体" w:eastAsia="宋体" w:cs="宋体"/>
          <w:b/>
          <w:bCs/>
          <w:highlight w:val="yellow"/>
          <w:lang w:val="en-US" w:eastAsia="zh-CN"/>
        </w:rPr>
        <w:t>2</w:t>
      </w:r>
      <w:r>
        <w:rPr>
          <w:rFonts w:hint="eastAsia" w:ascii="宋体" w:hAnsi="宋体" w:eastAsia="宋体" w:cs="宋体"/>
          <w:b/>
          <w:bCs/>
          <w:highlight w:val="yellow"/>
          <w:lang w:eastAsia="zh-CN"/>
        </w:rPr>
        <w:t>）</w:t>
      </w:r>
      <w:r>
        <w:rPr>
          <w:rFonts w:hint="eastAsia" w:ascii="宋体" w:hAnsi="宋体" w:eastAsia="宋体" w:cs="宋体"/>
          <w:b/>
          <w:bCs/>
          <w:highlight w:val="yellow"/>
        </w:rPr>
        <w:t>货物运输</w:t>
      </w:r>
      <w:r>
        <w:rPr>
          <w:rFonts w:hint="eastAsia" w:ascii="宋体" w:hAnsi="宋体" w:eastAsia="宋体" w:cs="宋体"/>
          <w:b/>
          <w:bCs/>
          <w:highlight w:val="yellow"/>
          <w:lang w:val="en-US" w:eastAsia="zh-CN"/>
        </w:rPr>
        <w:t>及</w:t>
      </w:r>
      <w:r>
        <w:rPr>
          <w:rFonts w:hint="eastAsia" w:ascii="宋体" w:hAnsi="宋体" w:eastAsia="宋体" w:cs="宋体"/>
          <w:b/>
          <w:bCs/>
          <w:highlight w:val="yellow"/>
        </w:rPr>
        <w:t>项目实施过程中所产生的一切风险，包括但不限于项目工作人员的人身安全事故、意外伤害事故、施工过程中致采购人、中标人及第三方人员的人身财产损害等，皆由中标人承担，皆由中标人负责解决。若由此导致采购人承担了相关法律责任或经济赔偿责任，中标人应给予采购人全部的补偿，并承担采购人为解决此类纠纷过程中所产生的实际费用</w:t>
      </w:r>
      <w:r>
        <w:rPr>
          <w:rFonts w:hint="eastAsia" w:ascii="宋体" w:hAnsi="宋体" w:eastAsia="宋体" w:cs="宋体"/>
          <w:b/>
          <w:bCs/>
          <w:highlight w:val="yellow"/>
          <w:lang w:eastAsia="zh-CN"/>
        </w:rPr>
        <w:t>；</w:t>
      </w:r>
    </w:p>
    <w:p w14:paraId="6D05AA39">
      <w:pPr>
        <w:spacing w:line="360" w:lineRule="auto"/>
        <w:rPr>
          <w:rFonts w:hint="default" w:ascii="宋体" w:hAnsi="宋体" w:eastAsia="宋体" w:cs="宋体"/>
          <w:lang w:val="en-US" w:eastAsia="zh-CN"/>
        </w:rPr>
      </w:pPr>
      <w:r>
        <w:rPr>
          <w:rFonts w:hint="eastAsia" w:ascii="宋体" w:hAnsi="宋体" w:eastAsia="宋体" w:cs="宋体"/>
          <w:b/>
          <w:bCs/>
          <w:highlight w:val="yellow"/>
        </w:rPr>
        <w:t>★</w:t>
      </w:r>
      <w:r>
        <w:rPr>
          <w:rFonts w:hint="eastAsia" w:ascii="宋体" w:hAnsi="宋体" w:eastAsia="宋体" w:cs="宋体"/>
          <w:b/>
          <w:bCs/>
          <w:highlight w:val="yellow"/>
          <w:lang w:eastAsia="zh-CN"/>
        </w:rPr>
        <w:t>（</w:t>
      </w:r>
      <w:r>
        <w:rPr>
          <w:rFonts w:hint="eastAsia" w:ascii="宋体" w:hAnsi="宋体" w:eastAsia="宋体" w:cs="宋体"/>
          <w:b/>
          <w:bCs/>
          <w:highlight w:val="yellow"/>
          <w:lang w:val="en-US" w:eastAsia="zh-CN"/>
        </w:rPr>
        <w:t>3</w:t>
      </w:r>
      <w:r>
        <w:rPr>
          <w:rFonts w:hint="eastAsia" w:ascii="宋体" w:hAnsi="宋体" w:eastAsia="宋体" w:cs="宋体"/>
          <w:b/>
          <w:bCs/>
          <w:highlight w:val="yellow"/>
          <w:lang w:eastAsia="zh-CN"/>
        </w:rPr>
        <w:t>）</w:t>
      </w:r>
      <w:r>
        <w:rPr>
          <w:rFonts w:hint="eastAsia" w:ascii="宋体" w:hAnsi="宋体" w:eastAsia="宋体" w:cs="宋体"/>
          <w:b/>
          <w:bCs/>
          <w:highlight w:val="yellow"/>
          <w:lang w:val="en-US" w:eastAsia="zh-CN"/>
        </w:rPr>
        <w:t>中标人需提供3年7*24小时</w:t>
      </w:r>
      <w:r>
        <w:rPr>
          <w:rFonts w:hint="eastAsia" w:ascii="宋体" w:hAnsi="宋体" w:cs="宋体"/>
          <w:b/>
          <w:bCs/>
          <w:highlight w:val="yellow"/>
          <w:lang w:val="en-US" w:eastAsia="zh-CN"/>
        </w:rPr>
        <w:t>的</w:t>
      </w:r>
      <w:r>
        <w:rPr>
          <w:rFonts w:hint="eastAsia" w:ascii="宋体" w:hAnsi="宋体" w:eastAsia="宋体" w:cs="宋体"/>
          <w:b/>
          <w:bCs/>
          <w:highlight w:val="yellow"/>
          <w:lang w:val="en-US" w:eastAsia="zh-CN"/>
        </w:rPr>
        <w:t>现场服务响应</w:t>
      </w:r>
      <w:r>
        <w:rPr>
          <w:rFonts w:hint="eastAsia" w:ascii="宋体" w:hAnsi="宋体" w:cs="宋体"/>
          <w:b/>
          <w:bCs/>
          <w:highlight w:val="yellow"/>
          <w:lang w:val="en-US" w:eastAsia="zh-CN"/>
        </w:rPr>
        <w:t>，</w:t>
      </w:r>
      <w:r>
        <w:rPr>
          <w:rFonts w:hint="eastAsia" w:ascii="宋体" w:hAnsi="宋体" w:eastAsia="宋体" w:cs="宋体"/>
          <w:b/>
          <w:bCs/>
          <w:highlight w:val="yellow"/>
        </w:rPr>
        <w:t>时间自通过采购人及使用单位验收并移交完整竣工资料之日起计算</w:t>
      </w:r>
      <w:r>
        <w:rPr>
          <w:rFonts w:hint="eastAsia" w:ascii="宋体" w:hAnsi="宋体" w:eastAsia="宋体" w:cs="宋体"/>
          <w:b/>
          <w:bCs/>
          <w:highlight w:val="yellow"/>
          <w:lang w:val="en-US" w:eastAsia="zh-CN"/>
        </w:rPr>
        <w:t>；</w:t>
      </w:r>
    </w:p>
    <w:p w14:paraId="2174BB14">
      <w:pPr>
        <w:spacing w:line="360" w:lineRule="auto"/>
        <w:rPr>
          <w:rFonts w:asciiTheme="minorEastAsia" w:hAnsiTheme="minorEastAsia" w:eastAsiaTheme="minorEastAsia"/>
        </w:rPr>
      </w:pPr>
      <w:r>
        <w:rPr>
          <w:rFonts w:hint="eastAsia" w:ascii="宋体" w:hAnsi="宋体" w:eastAsia="宋体" w:cs="宋体"/>
        </w:rPr>
        <w:t>（</w:t>
      </w:r>
      <w:r>
        <w:rPr>
          <w:rFonts w:hint="eastAsia" w:ascii="宋体" w:hAnsi="宋体" w:cs="宋体"/>
          <w:lang w:val="en-US" w:eastAsia="zh-CN"/>
        </w:rPr>
        <w:t>4</w:t>
      </w:r>
      <w:r>
        <w:rPr>
          <w:rFonts w:hint="eastAsia" w:ascii="宋体" w:hAnsi="宋体" w:eastAsia="宋体" w:cs="宋体"/>
        </w:rPr>
        <w:t>）质保期内</w:t>
      </w:r>
      <w:r>
        <w:rPr>
          <w:rFonts w:hint="eastAsia" w:asciiTheme="minorEastAsia" w:hAnsiTheme="minorEastAsia" w:eastAsiaTheme="minorEastAsia"/>
        </w:rPr>
        <w:t>，中标人接到维修通知后 24小时内必须派员到场维修并保证按时恢复使用。因施工或材料质量等中标人原因引致的维修项目，中标人免收一切维修费用；</w:t>
      </w:r>
    </w:p>
    <w:p w14:paraId="0B5E5A6D">
      <w:pPr>
        <w:spacing w:line="360" w:lineRule="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5</w:t>
      </w:r>
      <w:r>
        <w:rPr>
          <w:rFonts w:hint="eastAsia" w:asciiTheme="minorEastAsia" w:hAnsiTheme="minorEastAsia" w:eastAsiaTheme="minorEastAsia"/>
        </w:rPr>
        <w:t>）质保期外或采购人原因引致的维修项目，中标人可适当向采购人收取修缮、更换材料（部件）的成本费。</w:t>
      </w:r>
    </w:p>
    <w:p w14:paraId="59D56304">
      <w:pPr>
        <w:spacing w:line="360" w:lineRule="auto"/>
        <w:rPr>
          <w:rFonts w:asciiTheme="minorEastAsia" w:hAnsiTheme="minorEastAsia" w:eastAsiaTheme="minorEastAsia"/>
          <w:b/>
        </w:rPr>
      </w:pPr>
      <w:r>
        <w:rPr>
          <w:rFonts w:hint="eastAsia" w:asciiTheme="minorEastAsia" w:hAnsiTheme="minorEastAsia" w:eastAsiaTheme="minorEastAsia"/>
          <w:b/>
        </w:rPr>
        <w:t>5、验收程序：</w:t>
      </w:r>
    </w:p>
    <w:p w14:paraId="491CF458">
      <w:pPr>
        <w:spacing w:line="360" w:lineRule="auto"/>
        <w:rPr>
          <w:rFonts w:asciiTheme="minorEastAsia" w:hAnsiTheme="minorEastAsia" w:eastAsiaTheme="minorEastAsia"/>
        </w:rPr>
      </w:pPr>
      <w:r>
        <w:rPr>
          <w:rFonts w:hint="eastAsia" w:asciiTheme="minorEastAsia" w:hAnsiTheme="minorEastAsia" w:eastAsiaTheme="minorEastAsia"/>
        </w:rPr>
        <w:t>满足相关国家规范和行业规范要求，经承建单位自检合格后，通知监理进行预验收，预验收合格后，由承建单位提起申请，建设单位安排组织验收。</w:t>
      </w:r>
    </w:p>
    <w:p w14:paraId="215B06D8">
      <w:pPr>
        <w:spacing w:line="360" w:lineRule="auto"/>
        <w:rPr>
          <w:rFonts w:asciiTheme="minorEastAsia" w:hAnsiTheme="minorEastAsia" w:eastAsiaTheme="minorEastAsia"/>
        </w:rPr>
      </w:pPr>
      <w:r>
        <w:rPr>
          <w:rFonts w:hint="eastAsia" w:asciiTheme="minorEastAsia" w:hAnsiTheme="minorEastAsia" w:eastAsiaTheme="minorEastAsia"/>
        </w:rPr>
        <w:t>验收标准：</w:t>
      </w:r>
    </w:p>
    <w:p w14:paraId="1DAE7BC9">
      <w:pPr>
        <w:spacing w:line="360" w:lineRule="auto"/>
        <w:rPr>
          <w:rFonts w:asciiTheme="minorEastAsia" w:hAnsiTheme="minorEastAsia" w:eastAsiaTheme="minorEastAsia"/>
        </w:rPr>
      </w:pPr>
      <w:r>
        <w:rPr>
          <w:rFonts w:hint="eastAsia" w:asciiTheme="minorEastAsia" w:hAnsiTheme="minorEastAsia" w:eastAsiaTheme="minorEastAsia"/>
        </w:rPr>
        <w:t>1.工程质量应当符合国家及行业标准；</w:t>
      </w:r>
    </w:p>
    <w:p w14:paraId="7E64CEDC">
      <w:pPr>
        <w:spacing w:line="360" w:lineRule="auto"/>
        <w:rPr>
          <w:rFonts w:asciiTheme="minorEastAsia" w:hAnsiTheme="minorEastAsia" w:eastAsiaTheme="minorEastAsia"/>
        </w:rPr>
      </w:pPr>
      <w:r>
        <w:rPr>
          <w:rFonts w:hint="eastAsia" w:asciiTheme="minorEastAsia" w:hAnsiTheme="minorEastAsia" w:eastAsiaTheme="minorEastAsia"/>
        </w:rPr>
        <w:t>2.采购人能够使用自如，外观完备；</w:t>
      </w:r>
    </w:p>
    <w:p w14:paraId="67A8C060">
      <w:pPr>
        <w:spacing w:line="360" w:lineRule="auto"/>
        <w:rPr>
          <w:rFonts w:asciiTheme="minorEastAsia" w:hAnsiTheme="minorEastAsia" w:eastAsiaTheme="minorEastAsia"/>
        </w:rPr>
      </w:pPr>
      <w:r>
        <w:rPr>
          <w:rFonts w:hint="eastAsia" w:asciiTheme="minorEastAsia" w:hAnsiTheme="minorEastAsia" w:eastAsiaTheme="minorEastAsia"/>
        </w:rPr>
        <w:t>3.技术参数符合国家及行业标准。</w:t>
      </w:r>
    </w:p>
    <w:p w14:paraId="30978B55">
      <w:pPr>
        <w:spacing w:line="360" w:lineRule="auto"/>
        <w:rPr>
          <w:rFonts w:asciiTheme="minorEastAsia" w:hAnsiTheme="minorEastAsia" w:eastAsiaTheme="minorEastAsia"/>
          <w:b/>
        </w:rPr>
      </w:pPr>
      <w:r>
        <w:rPr>
          <w:rFonts w:hint="eastAsia" w:asciiTheme="minorEastAsia" w:hAnsiTheme="minorEastAsia" w:eastAsiaTheme="minorEastAsia"/>
          <w:b/>
        </w:rPr>
        <w:t>6、违约金：</w:t>
      </w:r>
    </w:p>
    <w:p w14:paraId="3AD07797">
      <w:pPr>
        <w:spacing w:line="360" w:lineRule="auto"/>
        <w:rPr>
          <w:rFonts w:asciiTheme="minorEastAsia" w:hAnsiTheme="minorEastAsia" w:eastAsiaTheme="minorEastAsia"/>
        </w:rPr>
      </w:pPr>
      <w:r>
        <w:rPr>
          <w:rFonts w:hint="eastAsia" w:asciiTheme="minorEastAsia" w:hAnsiTheme="minorEastAsia" w:eastAsiaTheme="minorEastAsia"/>
        </w:rPr>
        <w:t>（1）工程质量等级不合格的且返工重做仍不合格的，建设单位有权解除合同，中标人需支付合同金额7%的违约金。如前述约定的相应违约金不足以弥补建设单位所受损失的，建设单位有权就不足部分向中标人进行追偿。</w:t>
      </w:r>
    </w:p>
    <w:p w14:paraId="12B23F73">
      <w:pPr>
        <w:spacing w:line="360" w:lineRule="auto"/>
        <w:rPr>
          <w:rFonts w:asciiTheme="minorEastAsia" w:hAnsiTheme="minorEastAsia" w:eastAsiaTheme="minorEastAsia"/>
        </w:rPr>
      </w:pPr>
      <w:r>
        <w:rPr>
          <w:rFonts w:hint="eastAsia" w:asciiTheme="minorEastAsia" w:hAnsiTheme="minorEastAsia" w:eastAsiaTheme="minorEastAsia"/>
        </w:rPr>
        <w:t>（2）如承建单位拒绝完成或不能按合同要求完成的，应属违约，建设单位有权单方解除合同，由承建单位承担合同总价20%的违约金并赔偿建设单位因此而造成的损失，或由建设单位安排其他单位完成，所发生的费用（另加15%的管理费）从将支付或已支付给承建单位的工程款中扣回，影响工期的责任由承建单位负责。</w:t>
      </w:r>
    </w:p>
    <w:p w14:paraId="221BF95B">
      <w:pPr>
        <w:spacing w:line="360" w:lineRule="auto"/>
        <w:rPr>
          <w:rFonts w:asciiTheme="minorEastAsia" w:hAnsiTheme="minorEastAsia" w:eastAsiaTheme="minorEastAsia"/>
        </w:rPr>
      </w:pPr>
      <w:r>
        <w:rPr>
          <w:rFonts w:hint="eastAsia" w:asciiTheme="minorEastAsia" w:hAnsiTheme="minorEastAsia" w:eastAsiaTheme="minorEastAsia"/>
        </w:rPr>
        <w:t>（3）承建单位迟延工期的，除因建设单位原因或不能规责于承建单位的客观原因，否则将按照延期违约赔偿金0.5万元/日历天，最多不超过合同价的5%予以工期处罚；逾期7日，建设单位有权解除本合同，承建单位应承担相应的逾期违约金。</w:t>
      </w:r>
    </w:p>
    <w:p w14:paraId="27BD66C2">
      <w:pPr>
        <w:spacing w:line="360" w:lineRule="auto"/>
        <w:rPr>
          <w:rFonts w:asciiTheme="minorEastAsia" w:hAnsiTheme="minorEastAsia" w:eastAsiaTheme="minorEastAsia"/>
          <w:b/>
        </w:rPr>
      </w:pPr>
      <w:r>
        <w:rPr>
          <w:rFonts w:hint="eastAsia" w:asciiTheme="minorEastAsia" w:hAnsiTheme="minorEastAsia" w:eastAsiaTheme="minorEastAsia"/>
          <w:b/>
        </w:rPr>
        <w:t>7、项目报修要求：</w:t>
      </w:r>
    </w:p>
    <w:p w14:paraId="58A3BC2A">
      <w:pPr>
        <w:spacing w:line="360" w:lineRule="auto"/>
        <w:rPr>
          <w:rFonts w:asciiTheme="minorEastAsia" w:hAnsiTheme="minorEastAsia" w:eastAsiaTheme="minorEastAsia"/>
        </w:rPr>
      </w:pPr>
      <w:r>
        <w:rPr>
          <w:rFonts w:hint="eastAsia" w:asciiTheme="minorEastAsia" w:hAnsiTheme="minorEastAsia" w:eastAsiaTheme="minorEastAsia"/>
        </w:rPr>
        <w:t>（1）根据《住房承乡建设部 财政部关于印发建设工程质量保证金管理办法的通知（建质［2017］138号》意见，装修保修期为二年，防水保修期为五年。</w:t>
      </w:r>
    </w:p>
    <w:p w14:paraId="75AEA7B8">
      <w:pPr>
        <w:spacing w:line="360" w:lineRule="auto"/>
        <w:rPr>
          <w:rFonts w:asciiTheme="minorEastAsia" w:hAnsiTheme="minorEastAsia" w:eastAsiaTheme="minorEastAsia"/>
        </w:rPr>
      </w:pPr>
      <w:r>
        <w:rPr>
          <w:rFonts w:hint="eastAsia" w:asciiTheme="minorEastAsia" w:hAnsiTheme="minorEastAsia" w:eastAsiaTheme="minorEastAsia"/>
        </w:rPr>
        <w:t>（2）验收标准：符合国家相关规定。</w:t>
      </w:r>
    </w:p>
    <w:p w14:paraId="5D988FC8">
      <w:pPr>
        <w:spacing w:line="360" w:lineRule="auto"/>
        <w:rPr>
          <w:rFonts w:asciiTheme="minorEastAsia" w:hAnsiTheme="minorEastAsia" w:eastAsiaTheme="minorEastAsia"/>
        </w:rPr>
      </w:pPr>
      <w:r>
        <w:rPr>
          <w:rFonts w:hint="eastAsia" w:asciiTheme="minorEastAsia" w:hAnsiTheme="minorEastAsia" w:eastAsiaTheme="minorEastAsia"/>
        </w:rPr>
        <w:t>（3）服务响应时间：24小时内。</w:t>
      </w:r>
    </w:p>
    <w:p w14:paraId="4AEF61DD">
      <w:pPr>
        <w:spacing w:line="360" w:lineRule="auto"/>
        <w:rPr>
          <w:rFonts w:asciiTheme="minorEastAsia" w:hAnsiTheme="minorEastAsia" w:eastAsiaTheme="minorEastAsia"/>
          <w:b/>
        </w:rPr>
      </w:pPr>
      <w:r>
        <w:rPr>
          <w:rFonts w:hint="eastAsia" w:asciiTheme="minorEastAsia" w:hAnsiTheme="minorEastAsia" w:eastAsiaTheme="minorEastAsia"/>
          <w:b/>
        </w:rPr>
        <w:t>8、关于发包人委托承包人办理保险事项的约定</w:t>
      </w:r>
    </w:p>
    <w:p w14:paraId="675C044A">
      <w:pPr>
        <w:spacing w:line="360" w:lineRule="auto"/>
        <w:rPr>
          <w:rFonts w:asciiTheme="minorEastAsia" w:hAnsiTheme="minorEastAsia" w:eastAsiaTheme="minorEastAsia" w:cstheme="minorBidi"/>
          <w:szCs w:val="22"/>
        </w:rPr>
      </w:pPr>
      <w:r>
        <w:rPr>
          <w:rFonts w:hint="eastAsia" w:asciiTheme="minorEastAsia" w:hAnsiTheme="minorEastAsia" w:eastAsiaTheme="minorEastAsia" w:cstheme="minorBidi"/>
          <w:szCs w:val="22"/>
        </w:rPr>
        <w:t>a）发包人委托承包人办理建筑工程一切险及第三者责任险,建筑工程一切险投保金额不得低于签约合同价，第三者责任险投保金额不低于 100 万元。承包人办理投保后，必须向发包人提供保单原件、保单副本（或复印件加盖公章）及保单发票向发包人申请保单费用。</w:t>
      </w:r>
    </w:p>
    <w:p w14:paraId="59A8779E">
      <w:pPr>
        <w:spacing w:line="360" w:lineRule="auto"/>
        <w:rPr>
          <w:rFonts w:asciiTheme="minorEastAsia" w:hAnsiTheme="minorEastAsia" w:eastAsiaTheme="minorEastAsia" w:cstheme="minorBidi"/>
          <w:szCs w:val="22"/>
        </w:rPr>
      </w:pPr>
      <w:r>
        <w:rPr>
          <w:rFonts w:hint="eastAsia" w:asciiTheme="minorEastAsia" w:hAnsiTheme="minorEastAsia" w:eastAsiaTheme="minorEastAsia" w:cstheme="minorBidi"/>
          <w:szCs w:val="22"/>
        </w:rPr>
        <w:t xml:space="preserve">b）无论什么原因，若承保工程一旦出险，承包人必须第一时间向监理工程师、发包人、发包人的保险顾问、承保人报告，对出险现场具有及时抢险、防止风险扩大和临时看管义务，对监理工程师、发包人或发包人的保险顾问负有配合义务，对于涉及发包人的权利的损害，承包人有义务协助发包人做好向保险公司的索赔工作，若承包人原因造成保险不能索赔或索赔额不足，则由承包人负责赔偿因此造成的一切损失。 </w:t>
      </w:r>
    </w:p>
    <w:p w14:paraId="3BBBEB23">
      <w:pPr>
        <w:spacing w:line="360" w:lineRule="auto"/>
        <w:rPr>
          <w:rFonts w:asciiTheme="minorEastAsia" w:hAnsiTheme="minorEastAsia" w:eastAsiaTheme="minorEastAsia" w:cstheme="minorBidi"/>
          <w:szCs w:val="22"/>
        </w:rPr>
      </w:pPr>
      <w:r>
        <w:rPr>
          <w:rFonts w:hint="eastAsia" w:asciiTheme="minorEastAsia" w:hAnsiTheme="minorEastAsia" w:eastAsiaTheme="minorEastAsia" w:cstheme="minorBidi"/>
          <w:szCs w:val="22"/>
        </w:rPr>
        <w:t>本工程发包人委托承包人办理的保险事项包括：</w:t>
      </w:r>
    </w:p>
    <w:tbl>
      <w:tblPr>
        <w:tblStyle w:val="5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5812"/>
      </w:tblGrid>
      <w:tr w14:paraId="73E1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D2311A7">
            <w:pPr>
              <w:spacing w:line="360" w:lineRule="auto"/>
              <w:jc w:val="center"/>
              <w:rPr>
                <w:rFonts w:ascii="宋体" w:hAnsi="宋体"/>
                <w:szCs w:val="20"/>
              </w:rPr>
            </w:pPr>
            <w:r>
              <w:rPr>
                <w:rFonts w:hint="eastAsia" w:ascii="宋体" w:hAnsi="宋体"/>
                <w:szCs w:val="20"/>
              </w:rPr>
              <w:t>1</w:t>
            </w:r>
          </w:p>
        </w:tc>
        <w:tc>
          <w:tcPr>
            <w:tcW w:w="2410" w:type="dxa"/>
            <w:vAlign w:val="center"/>
          </w:tcPr>
          <w:p w14:paraId="0D6FBB17">
            <w:pPr>
              <w:spacing w:line="360" w:lineRule="auto"/>
              <w:jc w:val="center"/>
              <w:rPr>
                <w:rFonts w:ascii="宋体" w:hAnsi="宋体"/>
                <w:szCs w:val="20"/>
              </w:rPr>
            </w:pPr>
            <w:r>
              <w:rPr>
                <w:rFonts w:hint="eastAsia" w:ascii="MS Gothic" w:hAnsi="MS Gothic" w:eastAsia="MS Gothic" w:cs="MS Gothic"/>
                <w:szCs w:val="22"/>
              </w:rPr>
              <w:t>☑</w:t>
            </w:r>
            <w:r>
              <w:rPr>
                <w:rFonts w:hint="eastAsia" w:asciiTheme="minorHAnsi" w:hAnsiTheme="minorHAnsi" w:eastAsiaTheme="minorEastAsia" w:cstheme="minorBidi"/>
                <w:szCs w:val="22"/>
              </w:rPr>
              <w:t>建筑工程一切险</w:t>
            </w:r>
          </w:p>
        </w:tc>
        <w:tc>
          <w:tcPr>
            <w:tcW w:w="5812" w:type="dxa"/>
            <w:vAlign w:val="center"/>
          </w:tcPr>
          <w:p w14:paraId="6040667A">
            <w:pPr>
              <w:spacing w:line="360" w:lineRule="auto"/>
              <w:rPr>
                <w:rFonts w:asciiTheme="minorHAnsi" w:hAnsiTheme="minorHAnsi" w:eastAsiaTheme="minorEastAsia" w:cstheme="minorBidi"/>
                <w:szCs w:val="22"/>
              </w:rPr>
            </w:pPr>
            <w:r>
              <w:rPr>
                <w:rFonts w:hint="eastAsia" w:asciiTheme="minorHAnsi" w:hAnsiTheme="minorHAnsi" w:eastAsiaTheme="minorEastAsia" w:cstheme="minorBidi"/>
                <w:szCs w:val="22"/>
              </w:rPr>
              <w:t>该项保险费：</w:t>
            </w:r>
          </w:p>
          <w:p w14:paraId="7D342DE9">
            <w:pPr>
              <w:spacing w:line="360" w:lineRule="auto"/>
              <w:rPr>
                <w:rFonts w:asciiTheme="minorHAnsi" w:hAnsiTheme="minorHAnsi" w:eastAsiaTheme="minorEastAsia" w:cstheme="minorBidi"/>
                <w:szCs w:val="22"/>
              </w:rPr>
            </w:pPr>
            <w:r>
              <w:rPr>
                <w:rFonts w:hint="eastAsia" w:ascii="MS Gothic" w:hAnsi="MS Gothic" w:eastAsia="MS Gothic" w:cs="MS Gothic"/>
                <w:szCs w:val="22"/>
              </w:rPr>
              <w:t>☑</w:t>
            </w:r>
            <w:r>
              <w:rPr>
                <w:rFonts w:hint="eastAsia" w:asciiTheme="minorHAnsi" w:hAnsiTheme="minorHAnsi" w:eastAsiaTheme="minorEastAsia" w:cstheme="minorBidi"/>
                <w:szCs w:val="22"/>
              </w:rPr>
              <w:t>已包含在投标报价</w:t>
            </w:r>
            <w:r>
              <w:rPr>
                <w:rFonts w:asciiTheme="minorHAnsi" w:hAnsiTheme="minorHAnsi" w:eastAsiaTheme="minorEastAsia" w:cstheme="minorBidi"/>
                <w:szCs w:val="22"/>
              </w:rPr>
              <w:t>(</w:t>
            </w:r>
            <w:r>
              <w:rPr>
                <w:rFonts w:hint="eastAsia" w:asciiTheme="minorHAnsi" w:hAnsiTheme="minorHAnsi" w:eastAsiaTheme="minorEastAsia" w:cstheme="minorBidi"/>
                <w:szCs w:val="22"/>
              </w:rPr>
              <w:t>签约合同价</w:t>
            </w:r>
            <w:r>
              <w:rPr>
                <w:rFonts w:asciiTheme="minorHAnsi" w:hAnsiTheme="minorHAnsi" w:eastAsiaTheme="minorEastAsia" w:cstheme="minorBidi"/>
                <w:szCs w:val="22"/>
              </w:rPr>
              <w:t>)</w:t>
            </w:r>
            <w:r>
              <w:rPr>
                <w:rFonts w:hint="eastAsia" w:asciiTheme="minorHAnsi" w:hAnsiTheme="minorHAnsi" w:eastAsiaTheme="minorEastAsia" w:cstheme="minorBidi"/>
                <w:szCs w:val="22"/>
              </w:rPr>
              <w:t>中，结算时不予调整；</w:t>
            </w:r>
          </w:p>
          <w:p w14:paraId="3BB2469E">
            <w:pPr>
              <w:spacing w:line="360" w:lineRule="auto"/>
              <w:rPr>
                <w:rFonts w:asciiTheme="minorHAnsi" w:hAnsiTheme="minorHAnsi" w:eastAsiaTheme="minorEastAsia" w:cstheme="minorBidi"/>
                <w:szCs w:val="22"/>
              </w:rPr>
            </w:pPr>
            <w:r>
              <w:rPr>
                <w:rFonts w:hint="eastAsia" w:asciiTheme="minorHAnsi" w:hAnsiTheme="minorHAnsi" w:eastAsiaTheme="minorEastAsia" w:cstheme="minorBidi"/>
                <w:szCs w:val="22"/>
              </w:rPr>
              <w:t>□未包含在投标报价(签约合同价)中，由发包人另行支付。</w:t>
            </w:r>
          </w:p>
        </w:tc>
      </w:tr>
      <w:tr w14:paraId="5FD2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271400C">
            <w:pPr>
              <w:spacing w:line="360" w:lineRule="auto"/>
              <w:jc w:val="center"/>
              <w:rPr>
                <w:rFonts w:ascii="宋体" w:hAnsi="宋体"/>
                <w:szCs w:val="20"/>
              </w:rPr>
            </w:pPr>
            <w:r>
              <w:rPr>
                <w:rFonts w:hint="eastAsia" w:ascii="宋体" w:hAnsi="宋体"/>
                <w:szCs w:val="20"/>
              </w:rPr>
              <w:t>2</w:t>
            </w:r>
          </w:p>
        </w:tc>
        <w:tc>
          <w:tcPr>
            <w:tcW w:w="2410" w:type="dxa"/>
            <w:vAlign w:val="center"/>
          </w:tcPr>
          <w:p w14:paraId="4247A704">
            <w:pPr>
              <w:spacing w:line="360" w:lineRule="auto"/>
              <w:jc w:val="center"/>
              <w:rPr>
                <w:rFonts w:ascii="宋体" w:hAnsi="宋体"/>
                <w:szCs w:val="20"/>
              </w:rPr>
            </w:pPr>
            <w:r>
              <w:rPr>
                <w:rFonts w:hint="eastAsia" w:ascii="MS Gothic" w:hAnsi="MS Gothic" w:eastAsia="MS Gothic" w:cs="MS Gothic"/>
                <w:szCs w:val="22"/>
              </w:rPr>
              <w:t>☑</w:t>
            </w:r>
            <w:r>
              <w:rPr>
                <w:rFonts w:hint="eastAsia" w:asciiTheme="minorHAnsi" w:hAnsiTheme="minorHAnsi" w:eastAsiaTheme="minorEastAsia" w:cstheme="minorBidi"/>
                <w:szCs w:val="22"/>
              </w:rPr>
              <w:t>安装工程一切险</w:t>
            </w:r>
          </w:p>
        </w:tc>
        <w:tc>
          <w:tcPr>
            <w:tcW w:w="5812" w:type="dxa"/>
            <w:vAlign w:val="center"/>
          </w:tcPr>
          <w:p w14:paraId="02AC419F">
            <w:pPr>
              <w:spacing w:line="360" w:lineRule="auto"/>
              <w:jc w:val="left"/>
              <w:rPr>
                <w:rFonts w:asciiTheme="minorHAnsi" w:hAnsiTheme="minorHAnsi" w:eastAsiaTheme="minorEastAsia" w:cstheme="minorBidi"/>
                <w:szCs w:val="22"/>
              </w:rPr>
            </w:pPr>
            <w:r>
              <w:rPr>
                <w:rFonts w:hint="eastAsia" w:asciiTheme="minorHAnsi" w:hAnsiTheme="minorHAnsi" w:eastAsiaTheme="minorEastAsia" w:cstheme="minorBidi"/>
                <w:szCs w:val="22"/>
              </w:rPr>
              <w:t>该项保险费：</w:t>
            </w:r>
          </w:p>
          <w:p w14:paraId="59F9EF1D">
            <w:pPr>
              <w:spacing w:line="360" w:lineRule="auto"/>
              <w:jc w:val="left"/>
              <w:rPr>
                <w:rFonts w:asciiTheme="minorHAnsi" w:hAnsiTheme="minorHAnsi" w:eastAsiaTheme="minorEastAsia" w:cstheme="minorBidi"/>
                <w:szCs w:val="22"/>
              </w:rPr>
            </w:pPr>
            <w:r>
              <w:rPr>
                <w:rFonts w:hint="eastAsia" w:ascii="MS Gothic" w:hAnsi="MS Gothic" w:eastAsia="MS Gothic" w:cs="MS Gothic"/>
                <w:szCs w:val="22"/>
              </w:rPr>
              <w:t>☑</w:t>
            </w:r>
            <w:r>
              <w:rPr>
                <w:rFonts w:hint="eastAsia" w:asciiTheme="minorHAnsi" w:hAnsiTheme="minorHAnsi" w:eastAsiaTheme="minorEastAsia" w:cstheme="minorBidi"/>
                <w:szCs w:val="22"/>
              </w:rPr>
              <w:t>已包含在投标报价中(签约合同价)，结算时不予调整；</w:t>
            </w:r>
          </w:p>
          <w:p w14:paraId="451E10CC">
            <w:pPr>
              <w:spacing w:line="360" w:lineRule="auto"/>
              <w:jc w:val="left"/>
              <w:rPr>
                <w:rFonts w:ascii="宋体" w:hAnsi="宋体"/>
                <w:szCs w:val="20"/>
              </w:rPr>
            </w:pPr>
            <w:r>
              <w:rPr>
                <w:rFonts w:hint="eastAsia" w:asciiTheme="minorHAnsi" w:hAnsiTheme="minorHAnsi" w:eastAsiaTheme="minorEastAsia" w:cstheme="minorBidi"/>
                <w:szCs w:val="22"/>
              </w:rPr>
              <w:t>□未包含在投标报价中(签约合同价)，由发包人另行支付</w:t>
            </w:r>
            <w:r>
              <w:rPr>
                <w:rFonts w:hint="eastAsia" w:ascii="宋体" w:hAnsi="宋体"/>
                <w:szCs w:val="21"/>
              </w:rPr>
              <w:t>。</w:t>
            </w:r>
          </w:p>
        </w:tc>
      </w:tr>
      <w:tr w14:paraId="7E6B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93DFA99">
            <w:pPr>
              <w:spacing w:line="360" w:lineRule="auto"/>
              <w:jc w:val="center"/>
              <w:rPr>
                <w:rFonts w:ascii="宋体" w:hAnsi="宋体"/>
                <w:szCs w:val="20"/>
              </w:rPr>
            </w:pPr>
            <w:r>
              <w:rPr>
                <w:rFonts w:hint="eastAsia" w:ascii="宋体" w:hAnsi="宋体"/>
                <w:szCs w:val="20"/>
              </w:rPr>
              <w:t>3</w:t>
            </w:r>
          </w:p>
        </w:tc>
        <w:tc>
          <w:tcPr>
            <w:tcW w:w="2410" w:type="dxa"/>
            <w:vAlign w:val="center"/>
          </w:tcPr>
          <w:p w14:paraId="070935F4">
            <w:pPr>
              <w:spacing w:line="360" w:lineRule="auto"/>
              <w:jc w:val="center"/>
              <w:rPr>
                <w:rFonts w:ascii="宋体" w:hAnsi="宋体"/>
                <w:szCs w:val="20"/>
              </w:rPr>
            </w:pPr>
            <w:r>
              <w:rPr>
                <w:rFonts w:hint="eastAsia" w:ascii="MS Gothic" w:hAnsi="MS Gothic" w:eastAsia="MS Gothic" w:cs="MS Gothic"/>
                <w:szCs w:val="22"/>
              </w:rPr>
              <w:t>☑</w:t>
            </w:r>
            <w:r>
              <w:rPr>
                <w:rFonts w:hint="eastAsia" w:asciiTheme="minorHAnsi" w:hAnsiTheme="minorHAnsi" w:eastAsiaTheme="minorEastAsia" w:cstheme="minorBidi"/>
                <w:szCs w:val="22"/>
              </w:rPr>
              <w:t>第三者责任险</w:t>
            </w:r>
          </w:p>
        </w:tc>
        <w:tc>
          <w:tcPr>
            <w:tcW w:w="5812" w:type="dxa"/>
            <w:vAlign w:val="center"/>
          </w:tcPr>
          <w:p w14:paraId="67A93F11">
            <w:pPr>
              <w:spacing w:line="360" w:lineRule="auto"/>
              <w:ind w:firstLine="33" w:firstLineChars="16"/>
              <w:rPr>
                <w:rFonts w:asciiTheme="minorHAnsi" w:hAnsiTheme="minorHAnsi" w:eastAsiaTheme="minorEastAsia" w:cstheme="minorBidi"/>
                <w:szCs w:val="22"/>
              </w:rPr>
            </w:pPr>
            <w:r>
              <w:rPr>
                <w:rFonts w:hint="eastAsia" w:asciiTheme="minorHAnsi" w:hAnsiTheme="minorHAnsi" w:eastAsiaTheme="minorEastAsia" w:cstheme="minorBidi"/>
                <w:szCs w:val="22"/>
              </w:rPr>
              <w:t>该项保险费：</w:t>
            </w:r>
          </w:p>
          <w:p w14:paraId="09A4A6BD">
            <w:pPr>
              <w:spacing w:line="360" w:lineRule="auto"/>
              <w:ind w:firstLine="33" w:firstLineChars="16"/>
              <w:rPr>
                <w:rFonts w:asciiTheme="minorHAnsi" w:hAnsiTheme="minorHAnsi" w:eastAsiaTheme="minorEastAsia" w:cstheme="minorBidi"/>
                <w:szCs w:val="22"/>
              </w:rPr>
            </w:pPr>
            <w:r>
              <w:rPr>
                <w:rFonts w:hint="eastAsia" w:ascii="MS Gothic" w:hAnsi="MS Gothic" w:eastAsia="MS Gothic" w:cs="MS Gothic"/>
                <w:szCs w:val="22"/>
              </w:rPr>
              <w:t>☑</w:t>
            </w:r>
            <w:r>
              <w:rPr>
                <w:rFonts w:hint="eastAsia" w:asciiTheme="minorHAnsi" w:hAnsiTheme="minorHAnsi" w:eastAsiaTheme="minorEastAsia" w:cstheme="minorBidi"/>
                <w:szCs w:val="22"/>
              </w:rPr>
              <w:t>已包含在投标报价中</w:t>
            </w:r>
            <w:r>
              <w:rPr>
                <w:rFonts w:asciiTheme="minorHAnsi" w:hAnsiTheme="minorHAnsi" w:eastAsiaTheme="minorEastAsia" w:cstheme="minorBidi"/>
                <w:szCs w:val="22"/>
              </w:rPr>
              <w:t>(</w:t>
            </w:r>
            <w:r>
              <w:rPr>
                <w:rFonts w:hint="eastAsia" w:asciiTheme="minorHAnsi" w:hAnsiTheme="minorHAnsi" w:eastAsiaTheme="minorEastAsia" w:cstheme="minorBidi"/>
                <w:szCs w:val="22"/>
              </w:rPr>
              <w:t>签约合同价</w:t>
            </w:r>
            <w:r>
              <w:rPr>
                <w:rFonts w:asciiTheme="minorHAnsi" w:hAnsiTheme="minorHAnsi" w:eastAsiaTheme="minorEastAsia" w:cstheme="minorBidi"/>
                <w:szCs w:val="22"/>
              </w:rPr>
              <w:t>)</w:t>
            </w:r>
            <w:r>
              <w:rPr>
                <w:rFonts w:hint="eastAsia" w:asciiTheme="minorHAnsi" w:hAnsiTheme="minorHAnsi" w:eastAsiaTheme="minorEastAsia" w:cstheme="minorBidi"/>
                <w:szCs w:val="22"/>
              </w:rPr>
              <w:t>，结算时不予调整；</w:t>
            </w:r>
          </w:p>
          <w:p w14:paraId="5AA02697">
            <w:pPr>
              <w:spacing w:line="360" w:lineRule="auto"/>
              <w:jc w:val="left"/>
              <w:rPr>
                <w:rFonts w:ascii="宋体" w:hAnsi="宋体"/>
                <w:szCs w:val="20"/>
              </w:rPr>
            </w:pPr>
            <w:r>
              <w:rPr>
                <w:rFonts w:hint="eastAsia" w:asciiTheme="minorHAnsi" w:hAnsiTheme="minorHAnsi" w:eastAsiaTheme="minorEastAsia" w:cstheme="minorBidi"/>
                <w:szCs w:val="22"/>
              </w:rPr>
              <w:t>□未包含在投标报价中(签约合同价)，由发包人另行支付</w:t>
            </w:r>
            <w:r>
              <w:rPr>
                <w:rFonts w:hint="eastAsia" w:ascii="宋体" w:hAnsi="宋体"/>
                <w:szCs w:val="21"/>
              </w:rPr>
              <w:t>。</w:t>
            </w:r>
          </w:p>
        </w:tc>
      </w:tr>
      <w:tr w14:paraId="3054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6A9E4B1">
            <w:pPr>
              <w:spacing w:line="360" w:lineRule="auto"/>
              <w:jc w:val="center"/>
              <w:rPr>
                <w:rFonts w:ascii="宋体" w:hAnsi="宋体"/>
                <w:szCs w:val="20"/>
              </w:rPr>
            </w:pPr>
            <w:r>
              <w:rPr>
                <w:rFonts w:hint="eastAsia" w:ascii="宋体" w:hAnsi="宋体"/>
                <w:szCs w:val="20"/>
              </w:rPr>
              <w:t>4</w:t>
            </w:r>
          </w:p>
        </w:tc>
        <w:tc>
          <w:tcPr>
            <w:tcW w:w="2410" w:type="dxa"/>
            <w:vAlign w:val="center"/>
          </w:tcPr>
          <w:p w14:paraId="06E7310A">
            <w:pPr>
              <w:spacing w:line="360" w:lineRule="auto"/>
              <w:jc w:val="center"/>
              <w:rPr>
                <w:rFonts w:ascii="MS Gothic" w:hAnsi="MS Gothic" w:eastAsia="MS Gothic" w:cs="MS Gothic"/>
                <w:szCs w:val="22"/>
              </w:rPr>
            </w:pPr>
            <w:r>
              <w:rPr>
                <w:rFonts w:hint="eastAsia" w:asciiTheme="minorHAnsi" w:hAnsiTheme="minorHAnsi" w:eastAsiaTheme="minorEastAsia" w:cstheme="minorBidi"/>
                <w:szCs w:val="22"/>
              </w:rPr>
              <w:t>□其他：</w:t>
            </w:r>
          </w:p>
        </w:tc>
        <w:tc>
          <w:tcPr>
            <w:tcW w:w="5812" w:type="dxa"/>
            <w:vAlign w:val="center"/>
          </w:tcPr>
          <w:p w14:paraId="69C76A95">
            <w:pPr>
              <w:spacing w:line="360" w:lineRule="auto"/>
              <w:ind w:firstLine="33" w:firstLineChars="16"/>
              <w:rPr>
                <w:rFonts w:asciiTheme="minorHAnsi" w:hAnsiTheme="minorHAnsi" w:eastAsiaTheme="minorEastAsia" w:cstheme="minorBidi"/>
                <w:szCs w:val="22"/>
              </w:rPr>
            </w:pPr>
            <w:r>
              <w:rPr>
                <w:rFonts w:hint="eastAsia" w:asciiTheme="minorHAnsi" w:hAnsiTheme="minorHAnsi" w:eastAsiaTheme="minorEastAsia" w:cstheme="minorBidi"/>
                <w:szCs w:val="22"/>
              </w:rPr>
              <w:t>/</w:t>
            </w:r>
          </w:p>
        </w:tc>
      </w:tr>
    </w:tbl>
    <w:p w14:paraId="05940E3D">
      <w:pPr>
        <w:spacing w:line="360" w:lineRule="auto"/>
      </w:pPr>
    </w:p>
    <w:p w14:paraId="795EE8B1">
      <w:pPr>
        <w:rPr>
          <w:rFonts w:hint="eastAsia"/>
          <w:sz w:val="28"/>
          <w:szCs w:val="28"/>
        </w:rPr>
      </w:pPr>
      <w:r>
        <w:rPr>
          <w:rFonts w:hint="eastAsia"/>
          <w:sz w:val="28"/>
          <w:szCs w:val="28"/>
        </w:rPr>
        <w:br w:type="page"/>
      </w:r>
    </w:p>
    <w:p w14:paraId="758B47C5">
      <w:pPr>
        <w:pStyle w:val="5"/>
        <w:spacing w:before="240" w:beforeLines="100" w:after="240" w:afterLines="100"/>
        <w:rPr>
          <w:sz w:val="28"/>
          <w:szCs w:val="28"/>
        </w:rPr>
      </w:pPr>
      <w:r>
        <w:rPr>
          <w:rFonts w:hint="eastAsia"/>
          <w:sz w:val="28"/>
          <w:szCs w:val="28"/>
        </w:rPr>
        <w:t>八、其他要求</w:t>
      </w:r>
    </w:p>
    <w:p w14:paraId="3CF17670">
      <w:pPr>
        <w:spacing w:line="360" w:lineRule="auto"/>
        <w:ind w:firstLine="426"/>
        <w:rPr>
          <w:rFonts w:ascii="宋体" w:hAnsi="宋体"/>
          <w:kern w:val="0"/>
          <w:szCs w:val="21"/>
          <w:lang w:val="zh-CN"/>
        </w:rPr>
      </w:pPr>
      <w:r>
        <w:rPr>
          <w:rFonts w:hint="eastAsia" w:ascii="宋体" w:hAnsi="宋体"/>
          <w:b/>
          <w:bCs/>
          <w:kern w:val="0"/>
          <w:szCs w:val="21"/>
          <w:highlight w:val="yellow"/>
          <w:lang w:val="zh-CN"/>
        </w:rPr>
        <w:t>★</w:t>
      </w:r>
      <w:r>
        <w:rPr>
          <w:rFonts w:hint="eastAsia"/>
          <w:b/>
          <w:bCs/>
          <w:highlight w:val="yellow"/>
        </w:rPr>
        <w:t>投标供应商须提供法定代表人（负责人）</w:t>
      </w:r>
      <w:r>
        <w:rPr>
          <w:rFonts w:hint="eastAsia" w:ascii="宋体" w:hAnsi="宋体" w:cs="宋体"/>
          <w:b/>
          <w:bCs/>
          <w:szCs w:val="21"/>
          <w:highlight w:val="yellow"/>
        </w:rPr>
        <w:t>和</w:t>
      </w:r>
      <w:r>
        <w:rPr>
          <w:rFonts w:hint="eastAsia"/>
          <w:b/>
          <w:bCs/>
          <w:highlight w:val="yellow"/>
        </w:rPr>
        <w:t>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r>
        <w:rPr>
          <w:rFonts w:hint="eastAsia" w:ascii="宋体" w:hAnsi="宋体"/>
          <w:b/>
          <w:bCs/>
          <w:kern w:val="0"/>
          <w:szCs w:val="21"/>
          <w:highlight w:val="yellow"/>
          <w:lang w:val="zh-CN"/>
        </w:rPr>
        <w:t>。</w:t>
      </w:r>
    </w:p>
    <w:p w14:paraId="4BE86FD2">
      <w:pPr>
        <w:spacing w:line="360" w:lineRule="exact"/>
        <w:rPr>
          <w:rFonts w:ascii="宋体" w:hAnsi="宋体"/>
          <w:b/>
          <w:bCs/>
          <w:kern w:val="0"/>
          <w:sz w:val="28"/>
          <w:szCs w:val="28"/>
        </w:rPr>
      </w:pPr>
    </w:p>
    <w:p w14:paraId="06918FAB">
      <w:pPr>
        <w:pStyle w:val="5"/>
        <w:rPr>
          <w:kern w:val="2"/>
        </w:rPr>
      </w:pPr>
    </w:p>
    <w:p w14:paraId="34F1989E">
      <w:pPr>
        <w:pStyle w:val="5"/>
        <w:rPr>
          <w:kern w:val="2"/>
        </w:rPr>
      </w:pPr>
    </w:p>
    <w:p w14:paraId="0303DC3A">
      <w:pPr>
        <w:widowControl/>
        <w:jc w:val="left"/>
        <w:rPr>
          <w:rFonts w:ascii="宋体" w:hAnsi="宋体"/>
          <w:b/>
          <w:bCs/>
          <w:sz w:val="24"/>
          <w:szCs w:val="20"/>
        </w:rPr>
      </w:pPr>
      <w:r>
        <w:br w:type="page"/>
      </w:r>
    </w:p>
    <w:p w14:paraId="0F811558">
      <w:pPr>
        <w:pStyle w:val="5"/>
        <w:rPr>
          <w:kern w:val="2"/>
        </w:rPr>
      </w:pPr>
      <w:r>
        <w:rPr>
          <w:rFonts w:hint="eastAsia"/>
          <w:b/>
          <w:bCs/>
          <w:kern w:val="2"/>
        </w:rPr>
        <w:t>第三章</w:t>
      </w:r>
      <w:r>
        <w:rPr>
          <w:b/>
          <w:bCs/>
          <w:kern w:val="2"/>
        </w:rPr>
        <w:t xml:space="preserve"> </w:t>
      </w:r>
      <w:r>
        <w:rPr>
          <w:rFonts w:hint="eastAsia"/>
          <w:b/>
          <w:bCs/>
          <w:kern w:val="2"/>
        </w:rPr>
        <w:t xml:space="preserve"> 投标文件格式、附件</w:t>
      </w:r>
    </w:p>
    <w:p w14:paraId="35E6A616">
      <w:pPr>
        <w:rPr>
          <w:b/>
          <w:bCs/>
          <w:sz w:val="24"/>
          <w:szCs w:val="32"/>
        </w:rPr>
      </w:pPr>
      <w:r>
        <w:rPr>
          <w:rFonts w:hint="eastAsia"/>
          <w:b/>
          <w:bCs/>
          <w:sz w:val="24"/>
          <w:szCs w:val="32"/>
        </w:rPr>
        <w:t>特别提醒：</w:t>
      </w:r>
    </w:p>
    <w:p w14:paraId="021C67A9">
      <w:pPr>
        <w:rPr>
          <w:b/>
          <w:bCs/>
          <w:sz w:val="24"/>
          <w:szCs w:val="32"/>
        </w:rPr>
      </w:pPr>
    </w:p>
    <w:p w14:paraId="34065658">
      <w:pPr>
        <w:widowControl/>
        <w:ind w:firstLine="482" w:firstLineChars="200"/>
        <w:jc w:val="left"/>
        <w:rPr>
          <w:rFonts w:ascii="仿宋_GB2312" w:eastAsia="仿宋_GB2312"/>
          <w:kern w:val="0"/>
          <w:sz w:val="24"/>
        </w:rPr>
      </w:pPr>
      <w:r>
        <w:rPr>
          <w:rFonts w:hint="eastAsia" w:ascii="仿宋_GB2312" w:eastAsia="仿宋_GB2312"/>
          <w:b/>
          <w:kern w:val="0"/>
          <w:sz w:val="24"/>
        </w:rPr>
        <w:t>投标文件正文将对外公开，投标文件附件不公开。</w:t>
      </w:r>
      <w:r>
        <w:rPr>
          <w:rFonts w:hint="eastAsia" w:ascii="仿宋_GB2312" w:eastAsia="仿宋_GB2312"/>
          <w:kern w:val="0"/>
          <w:sz w:val="24"/>
        </w:rPr>
        <w:t>投标人在编辑投标文件时，在投标文件目录中属于本节点内容的必须在本节点中填写，填写到其他节点或附件的将可能导致投标无效，一切后果由供应商自行承担。</w:t>
      </w:r>
    </w:p>
    <w:p w14:paraId="203C803D">
      <w:pPr>
        <w:widowControl/>
        <w:jc w:val="left"/>
        <w:rPr>
          <w:rFonts w:ascii="仿宋_GB2312" w:eastAsia="仿宋_GB2312"/>
          <w:kern w:val="0"/>
          <w:sz w:val="24"/>
        </w:rPr>
      </w:pPr>
      <w:r>
        <w:rPr>
          <w:rFonts w:hint="eastAsia" w:ascii="仿宋_GB2312" w:eastAsia="仿宋_GB2312"/>
          <w:kern w:val="0"/>
          <w:sz w:val="24"/>
        </w:rPr>
        <w:t xml:space="preserve">    投标人应按招标文件规定的“投标文件组成”编制投标文件正文（信息公开部分）和投标文件附件（信息不公开部分），举例如下图：</w:t>
      </w:r>
    </w:p>
    <w:p w14:paraId="3BB42E72">
      <w:pPr>
        <w:widowControl/>
        <w:jc w:val="center"/>
        <w:rPr>
          <w:rFonts w:ascii="宋体" w:hAnsi="宋体" w:cs="宋体"/>
          <w:kern w:val="0"/>
          <w:sz w:val="24"/>
          <w:highlight w:val="green"/>
        </w:rPr>
      </w:pPr>
      <w:r>
        <w:rPr>
          <w:rFonts w:ascii="仿宋_GB2312" w:eastAsia="仿宋_GB2312"/>
          <w:kern w:val="0"/>
          <w:sz w:val="24"/>
          <w:highlight w:val="green"/>
        </w:rPr>
        <w:drawing>
          <wp:inline distT="0" distB="0" distL="0" distR="0">
            <wp:extent cx="5278755" cy="4126230"/>
            <wp:effectExtent l="0" t="0" r="0" b="0"/>
            <wp:docPr id="1"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14:paraId="0128393B">
      <w:pPr>
        <w:widowControl/>
        <w:jc w:val="center"/>
        <w:rPr>
          <w:rFonts w:ascii="仿宋_GB2312" w:eastAsia="仿宋_GB2312"/>
          <w:kern w:val="0"/>
          <w:sz w:val="24"/>
          <w:highlight w:val="green"/>
        </w:rPr>
      </w:pPr>
    </w:p>
    <w:p w14:paraId="5A34C3C0">
      <w:pPr>
        <w:widowControl/>
        <w:ind w:firstLine="480" w:firstLineChars="200"/>
        <w:jc w:val="left"/>
        <w:rPr>
          <w:rFonts w:ascii="仿宋_GB2312" w:eastAsia="仿宋_GB2312"/>
          <w:b/>
          <w:kern w:val="0"/>
          <w:sz w:val="24"/>
        </w:rPr>
      </w:pPr>
      <w:bookmarkStart w:id="10" w:name="_Hlk72257167"/>
      <w:r>
        <w:rPr>
          <w:rFonts w:hint="eastAsia" w:ascii="仿宋_GB2312" w:eastAsia="仿宋_GB2312"/>
          <w:kern w:val="0"/>
          <w:sz w:val="24"/>
        </w:rPr>
        <w:t>采购代理机构公布投标文件正文（信息公开部分）时为计算机截取信息自动公布，</w:t>
      </w:r>
      <w:r>
        <w:rPr>
          <w:rFonts w:hint="eastAsia" w:ascii="仿宋_GB2312" w:eastAsia="仿宋_GB2312"/>
          <w:b/>
          <w:bCs/>
          <w:kern w:val="0"/>
          <w:sz w:val="24"/>
        </w:rPr>
        <w:t>如投标人误将涉及个人隐私或其他重要信息放入投标文件正文，相关后果由投标人自负；</w:t>
      </w:r>
      <w:r>
        <w:rPr>
          <w:rFonts w:hint="eastAsia" w:ascii="仿宋_GB2312" w:eastAsia="仿宋_GB2312"/>
          <w:b/>
          <w:kern w:val="0"/>
          <w:sz w:val="24"/>
        </w:rPr>
        <w:t>如投标人将必须放于投标文件正文（信息公开部分）的内容放入投标文件附件（信息不公开部分），将作投标无效处理。</w:t>
      </w:r>
    </w:p>
    <w:bookmarkEnd w:id="10"/>
    <w:p w14:paraId="6C0318C4">
      <w:pPr>
        <w:rPr>
          <w:rFonts w:ascii="仿宋_GB2312" w:eastAsia="仿宋_GB2312"/>
          <w:sz w:val="24"/>
        </w:rPr>
      </w:pPr>
    </w:p>
    <w:p w14:paraId="51D0C4F9">
      <w:pPr>
        <w:rPr>
          <w:rFonts w:ascii="宋体" w:hAnsi="宋体"/>
          <w:sz w:val="24"/>
        </w:rPr>
      </w:pPr>
    </w:p>
    <w:p w14:paraId="455D75C8">
      <w:pPr>
        <w:ind w:firstLine="480" w:firstLineChars="200"/>
        <w:rPr>
          <w:rFonts w:ascii="宋体" w:hAnsi="宋体"/>
          <w:sz w:val="24"/>
        </w:rPr>
      </w:pPr>
      <w:r>
        <w:rPr>
          <w:rFonts w:hint="eastAsia" w:ascii="宋体" w:hAnsi="宋体"/>
          <w:sz w:val="24"/>
        </w:rPr>
        <w:t>投标文件组成：</w:t>
      </w:r>
    </w:p>
    <w:p w14:paraId="5D0F6A5D">
      <w:pPr>
        <w:pStyle w:val="7"/>
        <w:ind w:firstLine="991" w:firstLineChars="472"/>
        <w:rPr>
          <w:rFonts w:ascii="宋体" w:hAnsi="宋体"/>
          <w:szCs w:val="21"/>
        </w:rPr>
      </w:pPr>
      <w:r>
        <w:rPr>
          <w:rFonts w:hint="eastAsia" w:ascii="宋体" w:hAnsi="宋体"/>
          <w:szCs w:val="21"/>
        </w:rPr>
        <w:t>1、</w:t>
      </w:r>
      <w:r>
        <w:rPr>
          <w:rFonts w:hint="eastAsia" w:ascii="宋体" w:hAnsi="宋体"/>
          <w:b/>
        </w:rPr>
        <w:t>投标文件正文</w:t>
      </w:r>
      <w:r>
        <w:rPr>
          <w:rFonts w:hint="eastAsia" w:ascii="宋体" w:hAnsi="宋体"/>
          <w:b/>
          <w:szCs w:val="21"/>
        </w:rPr>
        <w:t>（信息公开部分）</w:t>
      </w:r>
      <w:r>
        <w:rPr>
          <w:rFonts w:hint="eastAsia" w:ascii="宋体" w:hAnsi="宋体"/>
          <w:szCs w:val="21"/>
        </w:rPr>
        <w:t>，主要包括以下内容：</w:t>
      </w:r>
    </w:p>
    <w:p w14:paraId="2491B294">
      <w:pPr>
        <w:spacing w:before="60" w:beforeLines="25" w:after="60" w:afterLines="25"/>
        <w:ind w:firstLine="991" w:firstLineChars="472"/>
        <w:rPr>
          <w:rFonts w:ascii="宋体" w:hAnsi="宋体"/>
          <w:szCs w:val="21"/>
        </w:rPr>
      </w:pPr>
      <w:r>
        <w:rPr>
          <w:rFonts w:hint="eastAsia" w:ascii="宋体" w:hAnsi="宋体"/>
          <w:szCs w:val="21"/>
        </w:rPr>
        <w:t>（1）投标函</w:t>
      </w:r>
    </w:p>
    <w:p w14:paraId="1D5EF164">
      <w:pPr>
        <w:spacing w:before="60" w:beforeLines="25" w:after="60" w:afterLines="25"/>
        <w:ind w:firstLine="991" w:firstLineChars="472"/>
        <w:rPr>
          <w:rFonts w:ascii="宋体" w:hAnsi="宋体"/>
          <w:szCs w:val="21"/>
        </w:rPr>
      </w:pPr>
      <w:r>
        <w:rPr>
          <w:rFonts w:hint="eastAsia" w:ascii="宋体" w:hAnsi="宋体"/>
          <w:szCs w:val="21"/>
        </w:rPr>
        <w:t>（2）资格响应文件</w:t>
      </w:r>
    </w:p>
    <w:p w14:paraId="7B362723">
      <w:pPr>
        <w:spacing w:before="60" w:beforeLines="25" w:after="60" w:afterLines="25"/>
        <w:ind w:firstLine="991" w:firstLineChars="472"/>
        <w:rPr>
          <w:rFonts w:ascii="宋体" w:hAnsi="宋体"/>
          <w:szCs w:val="21"/>
        </w:rPr>
      </w:pPr>
      <w:r>
        <w:rPr>
          <w:rFonts w:hint="eastAsia" w:ascii="宋体" w:hAnsi="宋体"/>
          <w:szCs w:val="21"/>
        </w:rPr>
        <w:t>（3）投标人情况介绍</w:t>
      </w:r>
    </w:p>
    <w:p w14:paraId="20087D99">
      <w:pPr>
        <w:spacing w:before="60" w:beforeLines="25" w:after="60" w:afterLines="25"/>
        <w:ind w:firstLine="991" w:firstLineChars="472"/>
        <w:rPr>
          <w:rFonts w:ascii="宋体" w:hAnsi="宋体"/>
          <w:szCs w:val="21"/>
        </w:rPr>
      </w:pPr>
      <w:r>
        <w:rPr>
          <w:rFonts w:hint="eastAsia" w:ascii="宋体" w:hAnsi="宋体"/>
          <w:szCs w:val="21"/>
        </w:rPr>
        <w:t>（4）符合政府采购扶持政策的证明材料</w:t>
      </w:r>
    </w:p>
    <w:p w14:paraId="2F34F6E7">
      <w:pPr>
        <w:pStyle w:val="7"/>
        <w:ind w:left="210" w:leftChars="100" w:firstLine="1348" w:firstLineChars="642"/>
        <w:rPr>
          <w:rFonts w:ascii="宋体" w:hAnsi="宋体"/>
          <w:szCs w:val="21"/>
        </w:rPr>
      </w:pPr>
    </w:p>
    <w:p w14:paraId="4EBE1A93">
      <w:pPr>
        <w:pStyle w:val="7"/>
        <w:ind w:left="210" w:leftChars="100" w:firstLine="781" w:firstLineChars="372"/>
        <w:rPr>
          <w:rFonts w:ascii="宋体" w:hAnsi="宋体"/>
          <w:szCs w:val="21"/>
        </w:rPr>
      </w:pPr>
      <w:r>
        <w:rPr>
          <w:rFonts w:hint="eastAsia" w:ascii="宋体" w:hAnsi="宋体"/>
          <w:szCs w:val="21"/>
        </w:rPr>
        <w:t>2、</w:t>
      </w:r>
      <w:r>
        <w:rPr>
          <w:rFonts w:hint="eastAsia" w:ascii="宋体" w:hAnsi="宋体"/>
          <w:b/>
          <w:szCs w:val="21"/>
        </w:rPr>
        <w:t>投标文件附件（信息不公开部分）</w:t>
      </w:r>
      <w:r>
        <w:rPr>
          <w:rFonts w:hint="eastAsia" w:ascii="宋体" w:hAnsi="宋体"/>
          <w:szCs w:val="21"/>
        </w:rPr>
        <w:t>，主要包括下列内容：</w:t>
      </w:r>
    </w:p>
    <w:p w14:paraId="536EC969">
      <w:pPr>
        <w:pStyle w:val="7"/>
        <w:spacing w:before="60" w:beforeLines="25" w:after="60" w:afterLines="25"/>
        <w:ind w:firstLine="991" w:firstLineChars="472"/>
        <w:rPr>
          <w:rFonts w:ascii="宋体" w:hAnsi="宋体"/>
          <w:szCs w:val="21"/>
        </w:rPr>
      </w:pPr>
      <w:r>
        <w:rPr>
          <w:rFonts w:hint="eastAsia" w:ascii="宋体" w:hAnsi="宋体"/>
          <w:szCs w:val="21"/>
        </w:rPr>
        <w:t>（5）政府采购违法行为风险知悉确认书</w:t>
      </w:r>
    </w:p>
    <w:p w14:paraId="7383F98D">
      <w:pPr>
        <w:pStyle w:val="7"/>
        <w:spacing w:before="60" w:beforeLines="25" w:after="60" w:afterLines="25"/>
        <w:ind w:firstLine="991" w:firstLineChars="472"/>
        <w:rPr>
          <w:rFonts w:ascii="宋体" w:hAnsi="宋体"/>
          <w:szCs w:val="21"/>
        </w:rPr>
      </w:pPr>
      <w:r>
        <w:rPr>
          <w:rFonts w:hint="eastAsia" w:ascii="宋体" w:hAnsi="宋体"/>
          <w:szCs w:val="21"/>
        </w:rPr>
        <w:t>（6）法定代表人（负责人）资格证明书</w:t>
      </w:r>
    </w:p>
    <w:p w14:paraId="0916ECE7">
      <w:pPr>
        <w:pStyle w:val="7"/>
        <w:spacing w:before="60" w:beforeLines="25" w:after="60" w:afterLines="25"/>
        <w:ind w:firstLine="991" w:firstLineChars="472"/>
        <w:rPr>
          <w:rFonts w:ascii="宋体" w:hAnsi="宋体"/>
          <w:szCs w:val="21"/>
        </w:rPr>
      </w:pPr>
      <w:r>
        <w:rPr>
          <w:rFonts w:hint="eastAsia" w:ascii="宋体" w:hAnsi="宋体"/>
          <w:szCs w:val="21"/>
        </w:rPr>
        <w:t>（7）投标文件签署授权委托书</w:t>
      </w:r>
    </w:p>
    <w:p w14:paraId="7837F06B">
      <w:pPr>
        <w:pStyle w:val="7"/>
        <w:spacing w:before="60" w:beforeLines="25" w:after="60" w:afterLines="25"/>
        <w:ind w:firstLine="991" w:firstLineChars="472"/>
        <w:rPr>
          <w:rFonts w:ascii="宋体" w:hAnsi="宋体"/>
          <w:szCs w:val="21"/>
        </w:rPr>
      </w:pPr>
      <w:r>
        <w:rPr>
          <w:rFonts w:hint="eastAsia" w:ascii="宋体" w:hAnsi="宋体"/>
          <w:szCs w:val="21"/>
        </w:rPr>
        <w:t>（8）实质性条款响应情况表</w:t>
      </w:r>
    </w:p>
    <w:p w14:paraId="03F5C96E">
      <w:pPr>
        <w:pStyle w:val="7"/>
        <w:spacing w:before="60" w:beforeLines="25" w:after="60" w:afterLines="25"/>
        <w:ind w:firstLine="991" w:firstLineChars="472"/>
        <w:rPr>
          <w:rFonts w:ascii="宋体" w:hAnsi="宋体"/>
          <w:szCs w:val="21"/>
        </w:rPr>
      </w:pPr>
      <w:r>
        <w:rPr>
          <w:rFonts w:hint="eastAsia" w:ascii="宋体" w:hAnsi="宋体"/>
          <w:szCs w:val="21"/>
        </w:rPr>
        <w:t>（9）工程量清单报价</w:t>
      </w:r>
    </w:p>
    <w:p w14:paraId="4FFFE027">
      <w:pPr>
        <w:spacing w:before="60" w:beforeLines="25" w:after="60" w:afterLines="25"/>
        <w:ind w:firstLine="991" w:firstLineChars="472"/>
        <w:rPr>
          <w:rFonts w:hint="eastAsia" w:ascii="宋体" w:hAnsi="宋体"/>
          <w:szCs w:val="21"/>
        </w:rPr>
      </w:pPr>
      <w:r>
        <w:rPr>
          <w:rFonts w:hint="eastAsia" w:ascii="宋体" w:hAnsi="宋体"/>
          <w:szCs w:val="21"/>
        </w:rPr>
        <w:t>（10）项目总体概述及理解</w:t>
      </w:r>
    </w:p>
    <w:p w14:paraId="09CACEE9">
      <w:pPr>
        <w:spacing w:before="60" w:beforeLines="25" w:after="60" w:afterLines="25"/>
        <w:ind w:firstLine="991" w:firstLineChars="472"/>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11</w:t>
      </w:r>
      <w:r>
        <w:rPr>
          <w:rFonts w:hint="eastAsia" w:ascii="宋体" w:hAnsi="宋体"/>
          <w:szCs w:val="21"/>
          <w:lang w:eastAsia="zh-CN"/>
        </w:rPr>
        <w:t>）</w:t>
      </w:r>
      <w:r>
        <w:rPr>
          <w:rFonts w:hint="eastAsia" w:ascii="宋体" w:hAnsi="宋体"/>
          <w:szCs w:val="21"/>
        </w:rPr>
        <w:t>施工组织计划、施工技术及施工工艺</w:t>
      </w:r>
    </w:p>
    <w:p w14:paraId="1B59D9FD">
      <w:pPr>
        <w:spacing w:before="60" w:beforeLines="25" w:after="60" w:afterLines="25"/>
        <w:ind w:firstLine="991" w:firstLineChars="472"/>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12</w:t>
      </w:r>
      <w:r>
        <w:rPr>
          <w:rFonts w:hint="eastAsia" w:ascii="宋体" w:hAnsi="宋体"/>
          <w:szCs w:val="21"/>
          <w:lang w:eastAsia="zh-CN"/>
        </w:rPr>
        <w:t>）</w:t>
      </w:r>
      <w:r>
        <w:rPr>
          <w:rFonts w:hint="eastAsia" w:ascii="宋体" w:hAnsi="宋体"/>
          <w:szCs w:val="21"/>
        </w:rPr>
        <w:t>项目实施关键施工技术（重点难点）分析及解决方案</w:t>
      </w:r>
    </w:p>
    <w:p w14:paraId="3A3CD981">
      <w:pPr>
        <w:spacing w:before="60" w:beforeLines="25" w:after="60" w:afterLines="25"/>
        <w:ind w:firstLine="991" w:firstLineChars="472"/>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13</w:t>
      </w:r>
      <w:r>
        <w:rPr>
          <w:rFonts w:hint="eastAsia" w:ascii="宋体" w:hAnsi="宋体"/>
          <w:szCs w:val="21"/>
          <w:lang w:eastAsia="zh-CN"/>
        </w:rPr>
        <w:t>）</w:t>
      </w:r>
      <w:r>
        <w:rPr>
          <w:rFonts w:hint="eastAsia" w:ascii="宋体" w:hAnsi="宋体"/>
          <w:szCs w:val="21"/>
        </w:rPr>
        <w:t>拟采用设备（材料）的性能（节能环保情况）、档次及质量可靠性</w:t>
      </w:r>
    </w:p>
    <w:p w14:paraId="5F963F6A">
      <w:pPr>
        <w:spacing w:before="60" w:beforeLines="25" w:after="60" w:afterLines="25"/>
        <w:ind w:firstLine="991" w:firstLineChars="472"/>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14</w:t>
      </w:r>
      <w:r>
        <w:rPr>
          <w:rFonts w:hint="eastAsia" w:ascii="宋体" w:hAnsi="宋体"/>
          <w:szCs w:val="21"/>
          <w:lang w:eastAsia="zh-CN"/>
        </w:rPr>
        <w:t>）</w:t>
      </w:r>
      <w:r>
        <w:rPr>
          <w:rFonts w:hint="eastAsia" w:ascii="宋体" w:hAnsi="宋体"/>
          <w:szCs w:val="21"/>
        </w:rPr>
        <w:t>施工质量（安全、环保、工期）保障措施、售后服务及违约承诺</w:t>
      </w:r>
    </w:p>
    <w:p w14:paraId="4DDBDCA3">
      <w:pPr>
        <w:spacing w:before="60" w:beforeLines="25" w:after="60" w:afterLines="25"/>
        <w:ind w:firstLine="991" w:firstLineChars="472"/>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15</w:t>
      </w:r>
      <w:r>
        <w:rPr>
          <w:rFonts w:hint="eastAsia" w:ascii="宋体" w:hAnsi="宋体"/>
          <w:szCs w:val="21"/>
          <w:lang w:eastAsia="zh-CN"/>
        </w:rPr>
        <w:t>）</w:t>
      </w:r>
      <w:r>
        <w:rPr>
          <w:rFonts w:hint="eastAsia" w:ascii="宋体" w:hAnsi="宋体"/>
          <w:szCs w:val="21"/>
        </w:rPr>
        <w:t>投标人同类项目业绩情况</w:t>
      </w:r>
    </w:p>
    <w:p w14:paraId="504583F7">
      <w:pPr>
        <w:spacing w:before="60" w:beforeLines="25" w:after="60" w:afterLines="25"/>
        <w:ind w:firstLine="991" w:firstLineChars="472"/>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16</w:t>
      </w:r>
      <w:r>
        <w:rPr>
          <w:rFonts w:hint="eastAsia" w:ascii="宋体" w:hAnsi="宋体"/>
          <w:szCs w:val="21"/>
          <w:lang w:eastAsia="zh-CN"/>
        </w:rPr>
        <w:t>）</w:t>
      </w:r>
      <w:r>
        <w:rPr>
          <w:rFonts w:hint="eastAsia" w:ascii="宋体" w:hAnsi="宋体"/>
          <w:szCs w:val="21"/>
        </w:rPr>
        <w:t>服务网点</w:t>
      </w:r>
    </w:p>
    <w:p w14:paraId="2BC221E0">
      <w:pPr>
        <w:spacing w:before="60" w:beforeLines="25" w:after="60" w:afterLines="25"/>
        <w:ind w:firstLine="991" w:firstLineChars="472"/>
        <w:rPr>
          <w:rFonts w:ascii="宋体" w:hAnsi="宋体"/>
          <w:szCs w:val="21"/>
        </w:rPr>
      </w:pPr>
      <w:r>
        <w:rPr>
          <w:rFonts w:hint="eastAsia" w:ascii="宋体" w:hAnsi="宋体"/>
          <w:szCs w:val="21"/>
          <w:lang w:eastAsia="zh-CN"/>
        </w:rPr>
        <w:t>（</w:t>
      </w:r>
      <w:r>
        <w:rPr>
          <w:rFonts w:hint="eastAsia" w:ascii="宋体" w:hAnsi="宋体"/>
          <w:szCs w:val="21"/>
          <w:lang w:val="en-US" w:eastAsia="zh-CN"/>
        </w:rPr>
        <w:t>17</w:t>
      </w:r>
      <w:r>
        <w:rPr>
          <w:rFonts w:hint="eastAsia" w:ascii="宋体" w:hAnsi="宋体"/>
          <w:szCs w:val="21"/>
          <w:lang w:eastAsia="zh-CN"/>
        </w:rPr>
        <w:t>）</w:t>
      </w:r>
      <w:r>
        <w:rPr>
          <w:rFonts w:hint="eastAsia" w:ascii="宋体" w:hAnsi="宋体"/>
          <w:szCs w:val="21"/>
        </w:rPr>
        <w:t>诚信评审</w:t>
      </w:r>
    </w:p>
    <w:p w14:paraId="2C39AE8C">
      <w:pPr>
        <w:spacing w:before="60" w:beforeLines="25" w:after="60" w:afterLines="25"/>
        <w:ind w:firstLine="991" w:firstLineChars="472"/>
        <w:rPr>
          <w:rFonts w:ascii="宋体" w:hAnsi="宋体"/>
          <w:szCs w:val="21"/>
        </w:rPr>
      </w:pPr>
      <w:r>
        <w:rPr>
          <w:rFonts w:hint="eastAsia" w:ascii="宋体" w:hAnsi="宋体"/>
          <w:szCs w:val="21"/>
        </w:rPr>
        <w:t>（</w:t>
      </w:r>
      <w:r>
        <w:rPr>
          <w:rFonts w:hint="eastAsia" w:ascii="宋体" w:hAnsi="宋体"/>
          <w:szCs w:val="21"/>
          <w:lang w:val="en-US" w:eastAsia="zh-CN"/>
        </w:rPr>
        <w:t>18</w:t>
      </w:r>
      <w:r>
        <w:rPr>
          <w:rFonts w:hint="eastAsia" w:ascii="宋体" w:hAnsi="宋体"/>
          <w:szCs w:val="21"/>
        </w:rPr>
        <w:t>）招标文件要求的其它内容或投标人认为需要补充的资料</w:t>
      </w:r>
    </w:p>
    <w:p w14:paraId="29531065">
      <w:pPr>
        <w:rPr>
          <w:rFonts w:ascii="仿宋_GB2312" w:eastAsia="仿宋_GB2312"/>
          <w:sz w:val="24"/>
        </w:rPr>
      </w:pPr>
    </w:p>
    <w:p w14:paraId="6F170E80">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备注：</w:t>
      </w:r>
    </w:p>
    <w:p w14:paraId="35DA0E00">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1.本项目为网上电子投标项目，投标文件不需法人或授权委托人另行签字，无需加盖单位公章，招标文件专用条款另有规定的除外。</w:t>
      </w:r>
    </w:p>
    <w:p w14:paraId="154D3BB3">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2.关于填写“开标一览表”的说明：“开标一览表”中除“投标报价”外，其他信息不作为评审依据。</w:t>
      </w:r>
    </w:p>
    <w:p w14:paraId="63D7A1F4">
      <w:pPr>
        <w:pStyle w:val="7"/>
        <w:ind w:left="210" w:leftChars="100" w:firstLine="1348" w:firstLineChars="642"/>
        <w:rPr>
          <w:rFonts w:ascii="宋体" w:hAnsi="宋体"/>
          <w:szCs w:val="21"/>
        </w:rPr>
      </w:pPr>
    </w:p>
    <w:p w14:paraId="5802E8AD">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20921334">
      <w:pPr>
        <w:pStyle w:val="7"/>
        <w:ind w:left="210" w:leftChars="100" w:firstLine="0"/>
        <w:rPr>
          <w:rFonts w:ascii="宋体" w:hAnsi="宋体"/>
          <w:szCs w:val="21"/>
        </w:rPr>
      </w:pPr>
      <w:r>
        <w:rPr>
          <w:rFonts w:hint="eastAsia" w:ascii="仿宋_GB2312" w:eastAsia="仿宋_GB2312"/>
          <w:b/>
          <w:color w:val="FF0000"/>
          <w:sz w:val="30"/>
          <w:szCs w:val="30"/>
        </w:rPr>
        <w:t>投标文件正文（信息公开部分）：</w:t>
      </w:r>
    </w:p>
    <w:p w14:paraId="28D4FFD5">
      <w:pPr>
        <w:pStyle w:val="3"/>
        <w:keepNext w:val="0"/>
        <w:keepLines w:val="0"/>
        <w:jc w:val="center"/>
        <w:rPr>
          <w:rFonts w:ascii="黑体" w:eastAsia="黑体"/>
          <w:b w:val="0"/>
          <w:kern w:val="0"/>
          <w:sz w:val="24"/>
        </w:rPr>
      </w:pPr>
      <w:r>
        <w:rPr>
          <w:rFonts w:hint="eastAsia" w:ascii="黑体" w:eastAsia="黑体"/>
          <w:b w:val="0"/>
          <w:kern w:val="0"/>
          <w:sz w:val="24"/>
        </w:rPr>
        <w:t>一、投标函</w:t>
      </w:r>
    </w:p>
    <w:p w14:paraId="0588A1B6">
      <w:pPr>
        <w:spacing w:line="360" w:lineRule="auto"/>
        <w:rPr>
          <w:rFonts w:ascii="宋体" w:hAnsi="宋体"/>
          <w:szCs w:val="21"/>
        </w:rPr>
      </w:pPr>
      <w:r>
        <w:rPr>
          <w:rFonts w:hint="eastAsia" w:ascii="宋体" w:hAnsi="宋体"/>
          <w:szCs w:val="21"/>
        </w:rPr>
        <w:t xml:space="preserve">深圳市中正招标有限公司：  </w:t>
      </w:r>
    </w:p>
    <w:p w14:paraId="2E1F0A58">
      <w:pPr>
        <w:spacing w:after="120" w:afterLines="50"/>
        <w:ind w:firstLine="420" w:firstLineChars="200"/>
        <w:rPr>
          <w:szCs w:val="21"/>
        </w:rPr>
      </w:pPr>
      <w:r>
        <w:rPr>
          <w:rFonts w:hint="eastAsia"/>
          <w:szCs w:val="21"/>
        </w:rPr>
        <w:t>1.根据已收到贵方的</w:t>
      </w:r>
      <w:r>
        <w:rPr>
          <w:rFonts w:hint="eastAsia"/>
          <w:kern w:val="0"/>
          <w:szCs w:val="21"/>
        </w:rPr>
        <w:t>（项目编号为</w:t>
      </w:r>
      <w:r>
        <w:rPr>
          <w:kern w:val="0"/>
          <w:szCs w:val="21"/>
          <w:u w:val="single"/>
        </w:rPr>
        <w:t xml:space="preserve">                   </w:t>
      </w:r>
      <w:r>
        <w:rPr>
          <w:rFonts w:hint="eastAsia"/>
          <w:kern w:val="0"/>
          <w:szCs w:val="21"/>
        </w:rPr>
        <w:t>）的（</w:t>
      </w:r>
      <w:r>
        <w:rPr>
          <w:kern w:val="0"/>
          <w:szCs w:val="21"/>
          <w:u w:val="single"/>
        </w:rPr>
        <w:t xml:space="preserve">                   </w:t>
      </w:r>
      <w:r>
        <w:rPr>
          <w:rFonts w:hint="eastAsia"/>
          <w:kern w:val="0"/>
          <w:szCs w:val="21"/>
        </w:rPr>
        <w:t>项目）</w:t>
      </w:r>
      <w:r>
        <w:rPr>
          <w:rFonts w:hint="eastAsia"/>
          <w:szCs w:val="21"/>
        </w:rPr>
        <w:t>的招标文件，遵照《深圳经济特区政府采购条例》和《深圳网上政府采购管理暂行办法》等有关规定，我方经研究上述招标文件的专用条款及通用条款后，愿以投标书编制软件中《开标一览表》中填写的投标报价并按招标文件要求承包上述项目并修补其任何缺陷。</w:t>
      </w:r>
    </w:p>
    <w:p w14:paraId="7A8DDD0F">
      <w:pPr>
        <w:spacing w:after="120"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565D4294">
      <w:pPr>
        <w:spacing w:after="120" w:afterLines="50"/>
        <w:ind w:firstLine="411" w:firstLineChars="196"/>
        <w:rPr>
          <w:rFonts w:ascii="宋体" w:hAnsi="宋体"/>
          <w:szCs w:val="21"/>
        </w:rPr>
      </w:pPr>
      <w:r>
        <w:rPr>
          <w:rFonts w:hint="eastAsia" w:ascii="宋体" w:hAnsi="宋体"/>
          <w:szCs w:val="21"/>
        </w:rPr>
        <w:t>3.我方同意所递交的投标文件在“对通用条款的补充内容”中的投标有效期内有效，在此期间内我方的投标有可能中标，我方将受此约束。</w:t>
      </w:r>
    </w:p>
    <w:p w14:paraId="2654D9A6">
      <w:pPr>
        <w:spacing w:after="120" w:afterLines="50"/>
        <w:ind w:firstLine="411" w:firstLineChars="196"/>
        <w:rPr>
          <w:rFonts w:ascii="宋体" w:hAnsi="宋体"/>
          <w:szCs w:val="21"/>
        </w:rPr>
      </w:pPr>
      <w:r>
        <w:rPr>
          <w:rFonts w:hint="eastAsia" w:ascii="宋体" w:hAnsi="宋体"/>
          <w:szCs w:val="21"/>
        </w:rPr>
        <w:t>4.除非另外达成协议并生效，贵方的中标通知书和本投标文件将构成约束我们双方的合同。</w:t>
      </w:r>
    </w:p>
    <w:p w14:paraId="3B0367B8">
      <w:pPr>
        <w:spacing w:after="120" w:afterLines="50"/>
        <w:ind w:firstLine="411" w:firstLineChars="196"/>
        <w:rPr>
          <w:rFonts w:ascii="宋体" w:hAnsi="宋体"/>
          <w:szCs w:val="21"/>
        </w:rPr>
      </w:pPr>
      <w:r>
        <w:rPr>
          <w:rFonts w:hint="eastAsia" w:ascii="宋体" w:hAnsi="宋体"/>
          <w:szCs w:val="21"/>
        </w:rPr>
        <w:t>5.我方理解贵方将不受必须接受你们所收到的最低标价或其它任何投标文件的约束。</w:t>
      </w:r>
    </w:p>
    <w:p w14:paraId="71E29E8A">
      <w:pPr>
        <w:spacing w:after="120" w:afterLines="50"/>
        <w:ind w:firstLine="411" w:firstLineChars="196"/>
        <w:rPr>
          <w:rFonts w:ascii="宋体" w:hAnsi="宋体"/>
          <w:szCs w:val="21"/>
        </w:rPr>
      </w:pPr>
      <w:r>
        <w:rPr>
          <w:rFonts w:hint="eastAsia" w:ascii="宋体" w:hAnsi="宋体"/>
          <w:szCs w:val="21"/>
        </w:rPr>
        <w:t>6.</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7BCE42C1">
      <w:pPr>
        <w:ind w:left="540" w:leftChars="257"/>
        <w:rPr>
          <w:szCs w:val="21"/>
        </w:rPr>
      </w:pPr>
    </w:p>
    <w:p w14:paraId="0A47C3F7">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28791CAC">
      <w:pPr>
        <w:ind w:left="540" w:leftChars="257"/>
        <w:rPr>
          <w:szCs w:val="21"/>
          <w:u w:val="single"/>
        </w:rPr>
      </w:pPr>
      <w:r>
        <w:rPr>
          <w:rFonts w:hint="eastAsia"/>
          <w:szCs w:val="21"/>
        </w:rPr>
        <w:t>法定代表人或其委托代理人：</w:t>
      </w:r>
      <w:r>
        <w:rPr>
          <w:rFonts w:hint="eastAsia"/>
          <w:szCs w:val="21"/>
          <w:u w:val="single"/>
        </w:rPr>
        <w:t xml:space="preserve">                   </w:t>
      </w:r>
    </w:p>
    <w:p w14:paraId="1DC4A478">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14:paraId="67BBAC4F">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CBAD306">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4795820">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1B13D3B5">
      <w:pPr>
        <w:spacing w:after="120" w:afterLines="50"/>
        <w:ind w:firstLine="411" w:firstLineChars="196"/>
        <w:rPr>
          <w:rFonts w:ascii="宋体" w:hAnsi="宋体"/>
          <w:szCs w:val="21"/>
        </w:rPr>
      </w:pPr>
    </w:p>
    <w:p w14:paraId="754ED1A2">
      <w:pPr>
        <w:rPr>
          <w:rFonts w:ascii="宋体" w:hAnsi="宋体"/>
          <w:szCs w:val="21"/>
        </w:rPr>
      </w:pPr>
      <w:r>
        <w:rPr>
          <w:rFonts w:hint="eastAsia"/>
          <w:szCs w:val="21"/>
          <w:u w:val="single"/>
        </w:rPr>
        <w:t>（备注：如联合体投标，投标人一栏仅需填写牵头人的名称）</w:t>
      </w:r>
    </w:p>
    <w:p w14:paraId="53DC749D">
      <w:pPr>
        <w:rPr>
          <w:rFonts w:ascii="黑体" w:hAnsi="宋体" w:eastAsia="黑体"/>
        </w:rPr>
      </w:pPr>
    </w:p>
    <w:p w14:paraId="28FAEEE9">
      <w:pPr>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二、资格响应文件</w:t>
      </w:r>
    </w:p>
    <w:p w14:paraId="1E834507">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（扫描件）</w:t>
      </w:r>
    </w:p>
    <w:p w14:paraId="34E1D058">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4D55C81F">
      <w:pPr>
        <w:adjustRightInd w:val="0"/>
        <w:snapToGrid w:val="0"/>
        <w:spacing w:line="360" w:lineRule="auto"/>
        <w:ind w:firstLine="424" w:firstLineChars="202"/>
        <w:rPr>
          <w:rFonts w:ascii="宋体" w:hAnsi="宋体"/>
        </w:rPr>
      </w:pPr>
      <w:r>
        <w:rPr>
          <w:rFonts w:hint="eastAsia" w:ascii="宋体" w:hAnsi="宋体"/>
        </w:rPr>
        <w:t>3、中小企业声明函等其他证明材料</w:t>
      </w:r>
    </w:p>
    <w:p w14:paraId="376FD333">
      <w:pPr>
        <w:adjustRightInd w:val="0"/>
        <w:snapToGrid w:val="0"/>
        <w:spacing w:line="360" w:lineRule="auto"/>
        <w:ind w:firstLine="424" w:firstLineChars="202"/>
        <w:rPr>
          <w:rFonts w:ascii="宋体" w:hAnsi="宋体"/>
        </w:rPr>
      </w:pPr>
      <w:r>
        <w:rPr>
          <w:rFonts w:hint="eastAsia" w:ascii="宋体" w:hAnsi="宋体"/>
        </w:rPr>
        <w:t>4、电子与智能化工程专业承包二级（含）以上资质（扫描件）；</w:t>
      </w:r>
    </w:p>
    <w:p w14:paraId="7928B63D">
      <w:pPr>
        <w:adjustRightInd w:val="0"/>
        <w:snapToGrid w:val="0"/>
        <w:spacing w:line="360" w:lineRule="auto"/>
        <w:ind w:firstLine="424" w:firstLineChars="202"/>
        <w:rPr>
          <w:rFonts w:ascii="宋体" w:hAnsi="宋体"/>
        </w:rPr>
      </w:pPr>
      <w:r>
        <w:rPr>
          <w:rFonts w:hint="eastAsia" w:ascii="宋体" w:hAnsi="宋体"/>
        </w:rPr>
        <w:t>5、安全生产许可证（扫描件）；</w:t>
      </w:r>
    </w:p>
    <w:p w14:paraId="5BD42158">
      <w:pPr>
        <w:adjustRightInd w:val="0"/>
        <w:snapToGrid w:val="0"/>
        <w:spacing w:line="360" w:lineRule="auto"/>
        <w:ind w:firstLine="424" w:firstLineChars="202"/>
        <w:rPr>
          <w:rFonts w:ascii="宋体" w:hAnsi="宋体"/>
        </w:rPr>
      </w:pPr>
      <w:r>
        <w:rPr>
          <w:rFonts w:hint="eastAsia" w:ascii="宋体" w:hAnsi="宋体"/>
        </w:rPr>
        <w:t>6、其它资格证明材料（如有，按招标公告“申请人的资格要求”提供）</w:t>
      </w:r>
    </w:p>
    <w:p w14:paraId="6AED8E47">
      <w:pPr>
        <w:rPr>
          <w:rFonts w:ascii="Calibri" w:hAnsi="Calibri"/>
          <w:szCs w:val="21"/>
          <w:u w:val="single"/>
        </w:rPr>
      </w:pPr>
    </w:p>
    <w:p w14:paraId="56A03B2A">
      <w:pPr>
        <w:rPr>
          <w:rFonts w:ascii="宋体" w:hAnsi="宋体"/>
          <w:szCs w:val="21"/>
        </w:rPr>
      </w:pPr>
      <w:r>
        <w:rPr>
          <w:rFonts w:hint="eastAsia" w:ascii="Calibri" w:hAnsi="Calibri"/>
          <w:szCs w:val="21"/>
          <w:u w:val="single"/>
        </w:rPr>
        <w:t>（备注：如联合体投标，联合体各方均应按要求提供资格响应文件）</w:t>
      </w:r>
    </w:p>
    <w:p w14:paraId="4731BD5A">
      <w:pPr>
        <w:rPr>
          <w:rFonts w:ascii="黑体" w:hAnsi="宋体" w:eastAsia="黑体"/>
          <w:bCs/>
          <w:kern w:val="0"/>
          <w:sz w:val="24"/>
          <w:szCs w:val="32"/>
        </w:rPr>
      </w:pPr>
      <w:r>
        <w:rPr>
          <w:rFonts w:hint="eastAsia" w:ascii="黑体" w:hAnsi="宋体" w:eastAsia="黑体"/>
          <w:bCs/>
          <w:kern w:val="0"/>
          <w:sz w:val="24"/>
          <w:szCs w:val="32"/>
        </w:rPr>
        <w:br w:type="page"/>
      </w:r>
    </w:p>
    <w:p w14:paraId="7315C844">
      <w:pPr>
        <w:spacing w:before="260" w:after="260" w:line="260" w:lineRule="exact"/>
        <w:jc w:val="center"/>
        <w:outlineLvl w:val="2"/>
        <w:rPr>
          <w:rFonts w:ascii="黑体" w:hAnsi="宋体" w:eastAsia="黑体"/>
          <w:bCs/>
          <w:kern w:val="0"/>
          <w:sz w:val="24"/>
          <w:szCs w:val="32"/>
        </w:rPr>
      </w:pPr>
      <w:r>
        <w:rPr>
          <w:rFonts w:hint="eastAsia" w:ascii="黑体" w:hAnsi="宋体" w:eastAsia="黑体"/>
          <w:bCs/>
          <w:kern w:val="0"/>
          <w:sz w:val="24"/>
          <w:szCs w:val="32"/>
        </w:rPr>
        <w:t>政府采购投标及履约承诺函</w:t>
      </w:r>
    </w:p>
    <w:p w14:paraId="32F47DD0">
      <w:pPr>
        <w:spacing w:line="260" w:lineRule="exact"/>
        <w:rPr>
          <w:rFonts w:ascii="宋体" w:hAnsi="宋体"/>
          <w:szCs w:val="21"/>
        </w:rPr>
      </w:pPr>
      <w:r>
        <w:rPr>
          <w:rFonts w:hint="eastAsia" w:ascii="宋体" w:hAnsi="宋体"/>
          <w:szCs w:val="21"/>
        </w:rPr>
        <w:t>深圳市中正招标有限公司：</w:t>
      </w:r>
    </w:p>
    <w:p w14:paraId="2059AA65">
      <w:pPr>
        <w:spacing w:line="260" w:lineRule="exact"/>
        <w:ind w:right="-815" w:firstLine="420" w:firstLineChars="200"/>
        <w:rPr>
          <w:rFonts w:ascii="宋体" w:hAnsi="宋体"/>
          <w:szCs w:val="21"/>
        </w:rPr>
      </w:pPr>
      <w:r>
        <w:rPr>
          <w:rFonts w:hint="eastAsia" w:ascii="宋体" w:hAnsi="宋体"/>
          <w:szCs w:val="21"/>
        </w:rPr>
        <w:t>我单位承诺：</w:t>
      </w:r>
    </w:p>
    <w:p w14:paraId="163C6D2E">
      <w:pPr>
        <w:spacing w:line="260" w:lineRule="exact"/>
        <w:ind w:firstLine="424" w:firstLineChars="202"/>
        <w:rPr>
          <w:rFonts w:ascii="宋体" w:hAnsi="宋体"/>
          <w:szCs w:val="21"/>
        </w:rPr>
      </w:pPr>
      <w:r>
        <w:rPr>
          <w:rFonts w:hint="eastAsia" w:ascii="宋体" w:hAnsi="宋体"/>
          <w:szCs w:val="21"/>
        </w:rPr>
        <w:t>1.我单位满足《中华人民共和国政府采购法》第二十二条规定的下列条件：</w:t>
      </w:r>
    </w:p>
    <w:p w14:paraId="27462F28">
      <w:pPr>
        <w:spacing w:line="260" w:lineRule="exact"/>
        <w:ind w:firstLine="424" w:firstLineChars="202"/>
        <w:rPr>
          <w:rFonts w:ascii="宋体" w:hAnsi="宋体"/>
          <w:szCs w:val="21"/>
        </w:rPr>
      </w:pPr>
      <w:r>
        <w:rPr>
          <w:rFonts w:hint="eastAsia" w:ascii="宋体" w:hAnsi="宋体"/>
          <w:szCs w:val="21"/>
        </w:rPr>
        <w:t>（一）具有独立承担民事责任的能力；</w:t>
      </w:r>
    </w:p>
    <w:p w14:paraId="0056EAC2">
      <w:pPr>
        <w:spacing w:line="260" w:lineRule="exact"/>
        <w:ind w:firstLine="424" w:firstLineChars="202"/>
        <w:rPr>
          <w:rFonts w:ascii="宋体" w:hAnsi="宋体"/>
          <w:szCs w:val="21"/>
        </w:rPr>
      </w:pPr>
      <w:r>
        <w:rPr>
          <w:rFonts w:hint="eastAsia" w:ascii="宋体" w:hAnsi="宋体"/>
          <w:szCs w:val="21"/>
        </w:rPr>
        <w:t>（二）具有良好的商业信誉和健全的财务会计制度；</w:t>
      </w:r>
    </w:p>
    <w:p w14:paraId="3B1D1261">
      <w:pPr>
        <w:spacing w:line="260" w:lineRule="exact"/>
        <w:ind w:firstLine="424" w:firstLineChars="202"/>
        <w:rPr>
          <w:rFonts w:ascii="宋体" w:hAnsi="宋体"/>
          <w:szCs w:val="21"/>
        </w:rPr>
      </w:pPr>
      <w:r>
        <w:rPr>
          <w:rFonts w:hint="eastAsia" w:ascii="宋体" w:hAnsi="宋体"/>
          <w:szCs w:val="21"/>
        </w:rPr>
        <w:t>（三）具有履行合同所必需的设备和专业技术能力；</w:t>
      </w:r>
    </w:p>
    <w:p w14:paraId="252E6AA4">
      <w:pPr>
        <w:spacing w:line="260" w:lineRule="exact"/>
        <w:ind w:firstLine="424" w:firstLineChars="202"/>
        <w:rPr>
          <w:rFonts w:ascii="宋体" w:hAnsi="宋体"/>
          <w:szCs w:val="21"/>
        </w:rPr>
      </w:pPr>
      <w:r>
        <w:rPr>
          <w:rFonts w:hint="eastAsia" w:ascii="宋体" w:hAnsi="宋体"/>
          <w:szCs w:val="21"/>
        </w:rPr>
        <w:t>（四）有依法缴纳税收和社会保障资金的良好记录；</w:t>
      </w:r>
    </w:p>
    <w:p w14:paraId="6C347489">
      <w:pPr>
        <w:spacing w:line="260" w:lineRule="exact"/>
        <w:ind w:firstLine="424" w:firstLineChars="202"/>
        <w:rPr>
          <w:rFonts w:ascii="宋体" w:hAnsi="宋体"/>
          <w:szCs w:val="21"/>
        </w:rPr>
      </w:pPr>
      <w:r>
        <w:rPr>
          <w:rFonts w:hint="eastAsia" w:ascii="宋体" w:hAnsi="宋体"/>
          <w:szCs w:val="21"/>
        </w:rPr>
        <w:t>（五）参加政府采购活动前三年内，在经营活动中没有重大违法记录；</w:t>
      </w:r>
    </w:p>
    <w:p w14:paraId="2A9D40C7">
      <w:pPr>
        <w:spacing w:line="260" w:lineRule="exact"/>
        <w:ind w:firstLine="424" w:firstLineChars="202"/>
        <w:rPr>
          <w:rFonts w:ascii="宋体" w:hAnsi="宋体"/>
          <w:szCs w:val="21"/>
        </w:rPr>
      </w:pPr>
      <w:r>
        <w:rPr>
          <w:rFonts w:hint="eastAsia" w:ascii="宋体" w:hAnsi="宋体"/>
          <w:szCs w:val="21"/>
        </w:rPr>
        <w:t>（六）法律、行政法规规定的其他条件。</w:t>
      </w:r>
    </w:p>
    <w:p w14:paraId="3BC64896">
      <w:pPr>
        <w:spacing w:line="260" w:lineRule="exact"/>
        <w:ind w:firstLine="424" w:firstLineChars="202"/>
        <w:rPr>
          <w:rFonts w:ascii="宋体" w:hAnsi="宋体"/>
          <w:szCs w:val="21"/>
        </w:rPr>
      </w:pPr>
      <w:r>
        <w:rPr>
          <w:rFonts w:hint="eastAsia" w:ascii="宋体" w:hAnsi="宋体"/>
          <w:szCs w:val="21"/>
        </w:rPr>
        <w:t>2.我单位参与本项目采购活动前三年内，在经营活动中没有重大违法记录，包括因违法经营受到刑事处罚或者责令停产停业、吊销许可证或者执照、较大数额罚款等行政处罚。</w:t>
      </w:r>
    </w:p>
    <w:p w14:paraId="5A1F9B03">
      <w:pPr>
        <w:spacing w:line="260" w:lineRule="exact"/>
        <w:ind w:firstLine="424" w:firstLineChars="202"/>
        <w:rPr>
          <w:rFonts w:ascii="宋体" w:hAnsi="宋体"/>
          <w:szCs w:val="21"/>
        </w:rPr>
      </w:pPr>
      <w:r>
        <w:rPr>
          <w:rFonts w:hint="eastAsia" w:ascii="宋体" w:hAnsi="宋体"/>
          <w:szCs w:val="21"/>
        </w:rPr>
        <w:t>3.我单位参与本项目政府采购活动时不存在被有关部门禁止参与政府采购活动且在有效期内的情况；与其他投标供应商不存在“单位负责人为同一人或者存在直接控股、管理关系”的情况；</w:t>
      </w:r>
      <w:r>
        <w:rPr>
          <w:rFonts w:hint="eastAsia" w:ascii="宋体" w:hAnsi="宋体"/>
          <w:snapToGrid w:val="0"/>
          <w:szCs w:val="22"/>
        </w:rPr>
        <w:t>除单一来源采购项目外，为采购项目提供整体设计、规范编制或者项目管理、监理、检测等服务的供应商，不得再参加该采购项目的其他采购活动</w:t>
      </w:r>
      <w:r>
        <w:rPr>
          <w:rFonts w:hint="eastAsia" w:ascii="宋体" w:hAnsi="宋体"/>
          <w:szCs w:val="21"/>
        </w:rPr>
        <w:t>。</w:t>
      </w:r>
    </w:p>
    <w:p w14:paraId="7BD22E79">
      <w:pPr>
        <w:spacing w:line="260" w:lineRule="exact"/>
        <w:ind w:firstLine="424" w:firstLineChars="202"/>
        <w:rPr>
          <w:rFonts w:ascii="宋体" w:hAnsi="宋体"/>
          <w:szCs w:val="21"/>
        </w:rPr>
      </w:pPr>
      <w:r>
        <w:rPr>
          <w:rFonts w:hint="eastAsia" w:ascii="宋体" w:hAnsi="宋体"/>
          <w:szCs w:val="21"/>
        </w:rPr>
        <w:t>4.我单位承诺非联合体投标，不非法转包或分包，为本项目所提供的货物或服务未侵犯知识产权。</w:t>
      </w:r>
    </w:p>
    <w:p w14:paraId="74C056BF">
      <w:pPr>
        <w:spacing w:line="260" w:lineRule="exact"/>
        <w:ind w:firstLine="424" w:firstLineChars="202"/>
        <w:rPr>
          <w:rFonts w:ascii="宋体" w:hAnsi="宋体"/>
          <w:szCs w:val="21"/>
        </w:rPr>
      </w:pPr>
      <w:r>
        <w:rPr>
          <w:rFonts w:hint="eastAsia" w:ascii="宋体" w:hAnsi="宋体"/>
          <w:szCs w:val="21"/>
        </w:rPr>
        <w:t>5.我单位承诺不存在《深圳市财政局政府采购供应商信用信息管理办法》（深财规〔2023〕3号）列明的严重违法失信行为。</w:t>
      </w:r>
    </w:p>
    <w:p w14:paraId="78AC7DA9">
      <w:pPr>
        <w:spacing w:line="260" w:lineRule="exact"/>
        <w:ind w:firstLine="424" w:firstLineChars="202"/>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6.我单位参与该项目投标，严格遵循公平竞争的原则，不妨碍其他投标人的竞争行为，不损害采购人或者其他投标人的合法权益，与其他采购参加人不存在下列串通投标情形：</w:t>
      </w:r>
    </w:p>
    <w:p w14:paraId="06208F34">
      <w:pPr>
        <w:spacing w:line="260" w:lineRule="exact"/>
        <w:ind w:firstLine="424" w:firstLineChars="202"/>
        <w:rPr>
          <w:rFonts w:ascii="宋体" w:hAnsi="宋体"/>
          <w:szCs w:val="21"/>
        </w:rPr>
      </w:pPr>
      <w:r>
        <w:rPr>
          <w:rFonts w:hint="eastAsia" w:ascii="宋体" w:hAnsi="宋体"/>
          <w:szCs w:val="21"/>
        </w:rPr>
        <w:t>（1）投标供应商之间相互约定给予未中标的供应商利益补偿；</w:t>
      </w:r>
    </w:p>
    <w:p w14:paraId="2DD09707">
      <w:pPr>
        <w:spacing w:line="260" w:lineRule="exact"/>
        <w:ind w:firstLine="424" w:firstLineChars="202"/>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32412CC1">
      <w:pPr>
        <w:spacing w:line="260" w:lineRule="exact"/>
        <w:ind w:firstLine="424" w:firstLineChars="202"/>
        <w:rPr>
          <w:rFonts w:ascii="宋体" w:hAnsi="宋体"/>
          <w:szCs w:val="21"/>
        </w:rPr>
      </w:pPr>
      <w:r>
        <w:rPr>
          <w:rFonts w:hint="eastAsia" w:ascii="宋体" w:hAnsi="宋体"/>
          <w:szCs w:val="21"/>
        </w:rPr>
        <w:t>（3）不同投标供应商的投标文件由同一单位或者同一人编制，或者由同一人分阶段参与编制的；</w:t>
      </w:r>
    </w:p>
    <w:p w14:paraId="73A588AB">
      <w:pPr>
        <w:spacing w:line="260" w:lineRule="exact"/>
        <w:ind w:firstLine="424" w:firstLineChars="202"/>
        <w:rPr>
          <w:rFonts w:ascii="宋体" w:hAnsi="宋体"/>
          <w:szCs w:val="21"/>
        </w:rPr>
      </w:pPr>
      <w:r>
        <w:rPr>
          <w:rFonts w:hint="eastAsia" w:ascii="宋体" w:hAnsi="宋体"/>
          <w:szCs w:val="21"/>
        </w:rPr>
        <w:t>（4）不同投标供应商的投标文件或部分投标文件相互混装；</w:t>
      </w:r>
    </w:p>
    <w:p w14:paraId="4E93414E">
      <w:pPr>
        <w:spacing w:line="260" w:lineRule="exact"/>
        <w:ind w:firstLine="424" w:firstLineChars="202"/>
        <w:rPr>
          <w:rFonts w:ascii="宋体" w:hAnsi="宋体"/>
          <w:szCs w:val="21"/>
        </w:rPr>
      </w:pPr>
      <w:r>
        <w:rPr>
          <w:rFonts w:hint="eastAsia" w:ascii="宋体" w:hAnsi="宋体"/>
          <w:szCs w:val="21"/>
        </w:rPr>
        <w:t>（5）不同投标供应商的投标文件内容存在非正常一致；</w:t>
      </w:r>
    </w:p>
    <w:p w14:paraId="27B3F5E6">
      <w:pPr>
        <w:spacing w:line="260" w:lineRule="exact"/>
        <w:ind w:firstLine="424" w:firstLineChars="202"/>
        <w:rPr>
          <w:rFonts w:ascii="宋体" w:hAnsi="宋体"/>
          <w:szCs w:val="21"/>
        </w:rPr>
      </w:pPr>
      <w:r>
        <w:rPr>
          <w:rFonts w:hint="eastAsia" w:ascii="宋体" w:hAnsi="宋体"/>
          <w:szCs w:val="21"/>
        </w:rPr>
        <w:t>（6）由同一单位工作人员为两家以上（含两家）供应商进行同一项投标活动的；</w:t>
      </w:r>
    </w:p>
    <w:p w14:paraId="33BF28B1">
      <w:pPr>
        <w:spacing w:line="260" w:lineRule="exact"/>
        <w:ind w:firstLine="424" w:firstLineChars="202"/>
        <w:rPr>
          <w:rFonts w:ascii="宋体" w:hAnsi="宋体"/>
          <w:szCs w:val="21"/>
        </w:rPr>
      </w:pPr>
      <w:r>
        <w:rPr>
          <w:rFonts w:hint="eastAsia" w:ascii="宋体" w:hAnsi="宋体"/>
          <w:szCs w:val="21"/>
        </w:rPr>
        <w:t>（7）主管部门依照法律、法规认定的其他情形。</w:t>
      </w:r>
    </w:p>
    <w:p w14:paraId="5BB7DAF1">
      <w:pPr>
        <w:spacing w:line="260" w:lineRule="exact"/>
        <w:ind w:firstLine="424" w:firstLineChars="202"/>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9CF91E4">
      <w:pPr>
        <w:spacing w:line="260" w:lineRule="exact"/>
        <w:ind w:firstLine="424" w:firstLineChars="202"/>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25DA69B">
      <w:pPr>
        <w:spacing w:line="260" w:lineRule="exact"/>
        <w:ind w:firstLine="424" w:firstLineChars="202"/>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04BB5E">
      <w:pPr>
        <w:spacing w:line="260" w:lineRule="exact"/>
        <w:ind w:firstLine="424" w:firstLineChars="202"/>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A9F2F45">
      <w:pPr>
        <w:spacing w:line="260" w:lineRule="exact"/>
        <w:ind w:firstLine="424" w:firstLineChars="202"/>
        <w:rPr>
          <w:rFonts w:ascii="宋体" w:hAnsi="宋体"/>
          <w:szCs w:val="21"/>
        </w:rPr>
      </w:pPr>
      <w:r>
        <w:rPr>
          <w:rFonts w:hint="eastAsia" w:ascii="宋体" w:hAnsi="宋体"/>
          <w:szCs w:val="21"/>
        </w:rPr>
        <w:t>以上承诺，如有违反，愿依照相关法律法规处理，并承担由此给采购人带来的损失。</w:t>
      </w:r>
    </w:p>
    <w:p w14:paraId="3F9640C3">
      <w:pPr>
        <w:spacing w:line="260" w:lineRule="exact"/>
        <w:ind w:firstLine="424" w:firstLineChars="202"/>
        <w:rPr>
          <w:rFonts w:ascii="宋体" w:hAnsi="宋体"/>
          <w:szCs w:val="21"/>
        </w:rPr>
      </w:pPr>
    </w:p>
    <w:p w14:paraId="5F9513D4">
      <w:pPr>
        <w:spacing w:line="260" w:lineRule="exact"/>
        <w:jc w:val="center"/>
        <w:rPr>
          <w:rFonts w:ascii="Calibri" w:hAnsi="Calibri"/>
          <w:szCs w:val="22"/>
        </w:rPr>
      </w:pPr>
      <w:r>
        <w:rPr>
          <w:rFonts w:hint="eastAsia" w:ascii="Calibri" w:hAnsi="Calibri"/>
          <w:szCs w:val="21"/>
        </w:rPr>
        <w:t xml:space="preserve">                             投标人：</w:t>
      </w:r>
    </w:p>
    <w:p w14:paraId="02D670EA">
      <w:pPr>
        <w:spacing w:line="2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E168EBF">
      <w:pPr>
        <w:spacing w:line="260" w:lineRule="exact"/>
        <w:ind w:firstLine="424" w:firstLineChars="202"/>
        <w:rPr>
          <w:rFonts w:ascii="宋体" w:hAnsi="宋体"/>
          <w:szCs w:val="21"/>
        </w:rPr>
      </w:pPr>
    </w:p>
    <w:p w14:paraId="534EE042">
      <w:pPr>
        <w:spacing w:line="260" w:lineRule="exact"/>
        <w:rPr>
          <w:rFonts w:ascii="Calibri" w:hAnsi="Calibri"/>
          <w:szCs w:val="22"/>
        </w:rPr>
      </w:pPr>
    </w:p>
    <w:p w14:paraId="332A5F10">
      <w:pPr>
        <w:spacing w:line="260" w:lineRule="exact"/>
        <w:rPr>
          <w:rFonts w:ascii="Calibri" w:hAnsi="Calibri"/>
          <w:szCs w:val="21"/>
          <w:u w:val="single"/>
        </w:rPr>
      </w:pPr>
      <w:r>
        <w:rPr>
          <w:rFonts w:hint="eastAsia" w:ascii="Calibri" w:hAnsi="Calibri"/>
          <w:szCs w:val="21"/>
          <w:u w:val="single"/>
        </w:rPr>
        <w:t>（备注：如联合体投标，投标人一栏需填写联合体双方的名称）</w:t>
      </w:r>
    </w:p>
    <w:p w14:paraId="21D1A2BA">
      <w:pPr>
        <w:rPr>
          <w:rFonts w:ascii="Calibri" w:hAnsi="Calibri"/>
          <w:szCs w:val="21"/>
          <w:u w:val="single"/>
        </w:rPr>
      </w:pPr>
      <w:r>
        <w:rPr>
          <w:rFonts w:hint="eastAsia" w:ascii="Calibri" w:hAnsi="Calibri"/>
          <w:szCs w:val="21"/>
          <w:u w:val="single"/>
        </w:rPr>
        <w:br w:type="page"/>
      </w:r>
    </w:p>
    <w:p w14:paraId="4CFE19F5">
      <w:pPr>
        <w:snapToGrid w:val="0"/>
        <w:spacing w:line="360" w:lineRule="auto"/>
        <w:jc w:val="center"/>
        <w:outlineLvl w:val="4"/>
        <w:rPr>
          <w:rFonts w:ascii="仿宋" w:hAnsi="仿宋" w:eastAsia="仿宋"/>
          <w:b/>
          <w:bCs/>
          <w:kern w:val="0"/>
          <w:sz w:val="25"/>
          <w:szCs w:val="25"/>
        </w:rPr>
      </w:pPr>
      <w:r>
        <w:rPr>
          <w:rFonts w:hint="eastAsia" w:ascii="黑体" w:hAnsi="宋体" w:eastAsia="黑体"/>
          <w:bCs/>
          <w:kern w:val="0"/>
          <w:sz w:val="24"/>
          <w:szCs w:val="32"/>
        </w:rPr>
        <w:t>中小企业声明函等其他证明材料</w:t>
      </w:r>
    </w:p>
    <w:p w14:paraId="282DC8AC">
      <w:pPr>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14:paraId="6B65F693">
      <w:pPr>
        <w:snapToGrid w:val="0"/>
        <w:spacing w:line="360" w:lineRule="auto"/>
        <w:jc w:val="left"/>
        <w:rPr>
          <w:rFonts w:ascii="宋体" w:hAnsi="宋体"/>
          <w:kern w:val="0"/>
          <w:szCs w:val="21"/>
        </w:rPr>
      </w:pPr>
      <w:r>
        <w:rPr>
          <w:rFonts w:hint="eastAsia" w:ascii="仿宋" w:hAnsi="仿宋" w:eastAsia="仿宋"/>
          <w:kern w:val="0"/>
          <w:sz w:val="25"/>
          <w:szCs w:val="25"/>
        </w:rPr>
        <w:t xml:space="preserve">  </w:t>
      </w:r>
      <w:r>
        <w:rPr>
          <w:rFonts w:hint="eastAsia" w:ascii="宋体" w:hAnsi="宋体"/>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554564E5">
      <w:pPr>
        <w:snapToGrid w:val="0"/>
        <w:spacing w:line="360" w:lineRule="auto"/>
        <w:ind w:firstLine="555"/>
        <w:jc w:val="left"/>
        <w:rPr>
          <w:rFonts w:ascii="宋体" w:hAnsi="宋体"/>
          <w:kern w:val="0"/>
          <w:szCs w:val="21"/>
        </w:rPr>
      </w:pPr>
      <w:r>
        <w:rPr>
          <w:rFonts w:hint="eastAsia" w:ascii="宋体" w:hAnsi="宋体"/>
          <w:kern w:val="0"/>
          <w:szCs w:val="21"/>
        </w:rPr>
        <w:t>2、该部分内容填写需要参考的相关文件包括但不限于（具体内容详见附件）：</w:t>
      </w:r>
    </w:p>
    <w:p w14:paraId="58D19EAE">
      <w:pPr>
        <w:snapToGrid w:val="0"/>
        <w:spacing w:line="360" w:lineRule="auto"/>
        <w:ind w:firstLine="555"/>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w:t>
      </w:r>
      <w:r>
        <w:rPr>
          <w:rFonts w:hint="eastAsia" w:ascii="宋体" w:hAnsi="宋体"/>
          <w:szCs w:val="21"/>
        </w:rPr>
        <w:t xml:space="preserve"> </w:t>
      </w:r>
      <w:r>
        <w:rPr>
          <w:rFonts w:hint="eastAsia" w:ascii="宋体" w:hAnsi="宋体"/>
          <w:kern w:val="0"/>
          <w:szCs w:val="21"/>
        </w:rPr>
        <w:t>财政部 工业和信息化部关于印发《政府采购促进中小企业发展管理办法》的通知（财库〔2020〕46号）</w:t>
      </w:r>
    </w:p>
    <w:p w14:paraId="172D0DAC">
      <w:pPr>
        <w:snapToGrid w:val="0"/>
        <w:spacing w:line="360" w:lineRule="auto"/>
        <w:ind w:firstLine="555"/>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w:t>
      </w:r>
      <w:bookmarkStart w:id="11" w:name="_Hlk71925120"/>
      <w:r>
        <w:rPr>
          <w:rFonts w:hint="eastAsia" w:ascii="宋体" w:hAnsi="宋体"/>
          <w:kern w:val="0"/>
          <w:szCs w:val="21"/>
        </w:rPr>
        <w:t>《关于印发中小企业划型标准规定的通知》（工信部联企业〔2011〕300 号</w:t>
      </w:r>
      <w:bookmarkEnd w:id="11"/>
      <w:r>
        <w:rPr>
          <w:rFonts w:hint="eastAsia" w:ascii="宋体" w:hAnsi="宋体"/>
          <w:kern w:val="0"/>
          <w:szCs w:val="21"/>
        </w:rPr>
        <w:t>）</w:t>
      </w:r>
    </w:p>
    <w:p w14:paraId="466CF226">
      <w:pPr>
        <w:snapToGrid w:val="0"/>
        <w:spacing w:line="360" w:lineRule="auto"/>
        <w:ind w:firstLine="555"/>
        <w:jc w:val="left"/>
        <w:rPr>
          <w:rFonts w:ascii="宋体" w:hAnsi="宋体"/>
          <w:kern w:val="0"/>
          <w:szCs w:val="21"/>
        </w:rPr>
      </w:pPr>
      <w:r>
        <w:rPr>
          <w:rFonts w:hint="eastAsia" w:ascii="宋体" w:hAnsi="宋体"/>
          <w:kern w:val="0"/>
          <w:szCs w:val="21"/>
        </w:rPr>
        <w:t>(3)</w:t>
      </w:r>
      <w:r>
        <w:rPr>
          <w:rFonts w:hint="eastAsia" w:ascii="宋体" w:hAnsi="宋体"/>
          <w:szCs w:val="21"/>
        </w:rPr>
        <w:t xml:space="preserve"> </w:t>
      </w:r>
      <w:r>
        <w:rPr>
          <w:rFonts w:hint="eastAsia" w:ascii="宋体" w:hAnsi="宋体"/>
          <w:kern w:val="0"/>
          <w:szCs w:val="21"/>
        </w:rPr>
        <w:t>国家统计局关于印发《统计上大中小微型企业划分办法 （2017）》的通知（国统字〔2017〕213 号）</w:t>
      </w:r>
    </w:p>
    <w:p w14:paraId="784D7C05">
      <w:pPr>
        <w:snapToGrid w:val="0"/>
        <w:spacing w:line="360" w:lineRule="auto"/>
        <w:ind w:firstLine="555"/>
        <w:jc w:val="left"/>
        <w:rPr>
          <w:rFonts w:ascii="宋体" w:hAnsi="宋体"/>
          <w:kern w:val="0"/>
          <w:szCs w:val="21"/>
        </w:rPr>
      </w:pPr>
      <w:r>
        <w:rPr>
          <w:rFonts w:hint="eastAsia" w:ascii="宋体" w:hAnsi="宋体"/>
          <w:kern w:val="0"/>
          <w:szCs w:val="21"/>
        </w:rPr>
        <w:t>(4)</w:t>
      </w:r>
      <w:r>
        <w:rPr>
          <w:rFonts w:hint="eastAsia" w:ascii="宋体" w:hAnsi="宋体"/>
          <w:szCs w:val="21"/>
        </w:rPr>
        <w:t xml:space="preserve"> </w:t>
      </w:r>
      <w:r>
        <w:rPr>
          <w:rFonts w:hint="eastAsia" w:ascii="宋体" w:hAnsi="宋体"/>
          <w:kern w:val="0"/>
          <w:szCs w:val="21"/>
        </w:rPr>
        <w:t>财政部 民政部 中国残疾人联合会关于促进残疾人就业 政府采购政策的通知（财库〔2017〕141号）</w:t>
      </w:r>
    </w:p>
    <w:p w14:paraId="5945BDDA">
      <w:pPr>
        <w:snapToGrid w:val="0"/>
        <w:spacing w:line="360" w:lineRule="auto"/>
        <w:ind w:firstLine="555"/>
        <w:jc w:val="left"/>
        <w:rPr>
          <w:rFonts w:ascii="宋体" w:hAnsi="宋体"/>
          <w:szCs w:val="21"/>
        </w:rPr>
      </w:pPr>
      <w:r>
        <w:rPr>
          <w:rFonts w:hint="eastAsia" w:ascii="宋体" w:hAnsi="宋体"/>
          <w:kern w:val="0"/>
          <w:szCs w:val="21"/>
        </w:rPr>
        <w:t>(5)</w:t>
      </w:r>
      <w:r>
        <w:rPr>
          <w:rFonts w:hint="eastAsia" w:ascii="宋体" w:hAnsi="宋体"/>
          <w:szCs w:val="21"/>
        </w:rPr>
        <w:t xml:space="preserve"> </w:t>
      </w:r>
      <w:r>
        <w:rPr>
          <w:rFonts w:hint="eastAsia" w:ascii="宋体" w:hAnsi="宋体"/>
          <w:kern w:val="0"/>
          <w:szCs w:val="21"/>
        </w:rPr>
        <w:t>财政部 司法部关于政府采购支持监狱企业发展有关问题的通知（财库〔2014〕68号）</w:t>
      </w:r>
    </w:p>
    <w:p w14:paraId="0E8733A4">
      <w:pPr>
        <w:snapToGrid w:val="0"/>
        <w:spacing w:line="360" w:lineRule="auto"/>
        <w:jc w:val="left"/>
        <w:rPr>
          <w:rFonts w:ascii="宋体" w:hAnsi="宋体"/>
          <w:kern w:val="0"/>
          <w:szCs w:val="21"/>
        </w:rPr>
      </w:pPr>
      <w:r>
        <w:rPr>
          <w:rFonts w:hint="eastAsia" w:ascii="宋体" w:hAnsi="宋体"/>
          <w:kern w:val="0"/>
          <w:szCs w:val="21"/>
        </w:rPr>
        <w:t xml:space="preserve">    3、请依照招标文件提供的格式和内容填写声明函，不要随意变更格式；声明函不需要盖章或签字；满足多项优惠政策的投标人，不重复享受多项价格扣除政策。</w:t>
      </w:r>
    </w:p>
    <w:p w14:paraId="3BF2C2FE">
      <w:pPr>
        <w:snapToGrid w:val="0"/>
        <w:spacing w:line="360" w:lineRule="auto"/>
        <w:jc w:val="left"/>
        <w:rPr>
          <w:rFonts w:ascii="宋体" w:hAnsi="宋体"/>
          <w:kern w:val="0"/>
          <w:szCs w:val="21"/>
        </w:rPr>
      </w:pPr>
      <w:r>
        <w:rPr>
          <w:rFonts w:hint="eastAsia" w:ascii="宋体" w:hAnsi="宋体"/>
          <w:kern w:val="0"/>
          <w:szCs w:val="21"/>
        </w:rPr>
        <w:t xml:space="preserve">    4、《中小企业声明函》填写要求：</w:t>
      </w:r>
    </w:p>
    <w:p w14:paraId="732E0E1D">
      <w:pPr>
        <w:snapToGrid w:val="0"/>
        <w:spacing w:line="360" w:lineRule="auto"/>
        <w:jc w:val="left"/>
        <w:rPr>
          <w:rFonts w:ascii="宋体" w:hAnsi="宋体"/>
          <w:kern w:val="0"/>
          <w:szCs w:val="21"/>
        </w:rPr>
      </w:pPr>
      <w:r>
        <w:rPr>
          <w:rFonts w:hint="eastAsia" w:ascii="宋体" w:hAnsi="宋体"/>
          <w:kern w:val="0"/>
          <w:szCs w:val="21"/>
        </w:rPr>
        <w:t xml:space="preserve">    （1）在“单位名称”下划线处如实填写</w:t>
      </w:r>
      <w:r>
        <w:rPr>
          <w:rFonts w:hint="eastAsia" w:ascii="宋体" w:hAnsi="宋体"/>
          <w:b/>
          <w:color w:val="FF0000"/>
          <w:kern w:val="0"/>
          <w:szCs w:val="21"/>
        </w:rPr>
        <w:t>采购人名称（详见采购人信息，非采购代理机构）</w:t>
      </w:r>
      <w:r>
        <w:rPr>
          <w:rFonts w:hint="eastAsia" w:ascii="宋体" w:hAnsi="宋体"/>
          <w:kern w:val="0"/>
          <w:szCs w:val="21"/>
        </w:rPr>
        <w:t>；</w:t>
      </w:r>
    </w:p>
    <w:p w14:paraId="2A21A486">
      <w:pPr>
        <w:snapToGrid w:val="0"/>
        <w:spacing w:line="360" w:lineRule="auto"/>
        <w:jc w:val="left"/>
        <w:rPr>
          <w:rFonts w:ascii="宋体" w:hAnsi="宋体"/>
          <w:kern w:val="0"/>
          <w:szCs w:val="21"/>
        </w:rPr>
      </w:pPr>
      <w:r>
        <w:rPr>
          <w:rFonts w:hint="eastAsia" w:ascii="宋体" w:hAnsi="宋体"/>
          <w:kern w:val="0"/>
          <w:szCs w:val="21"/>
        </w:rPr>
        <w:t xml:space="preserve">    （2）在“项目名称”下划线处如实填写</w:t>
      </w:r>
      <w:r>
        <w:rPr>
          <w:rFonts w:hint="eastAsia" w:ascii="宋体" w:hAnsi="宋体"/>
          <w:b/>
          <w:color w:val="FF0000"/>
          <w:kern w:val="0"/>
          <w:szCs w:val="21"/>
        </w:rPr>
        <w:t>采购项目名称</w:t>
      </w:r>
      <w:r>
        <w:rPr>
          <w:rFonts w:hint="eastAsia" w:ascii="宋体" w:hAnsi="宋体"/>
          <w:kern w:val="0"/>
          <w:szCs w:val="21"/>
        </w:rPr>
        <w:t>；</w:t>
      </w:r>
    </w:p>
    <w:p w14:paraId="14B15EBB">
      <w:pPr>
        <w:snapToGrid w:val="0"/>
        <w:spacing w:line="360" w:lineRule="auto"/>
        <w:jc w:val="left"/>
        <w:rPr>
          <w:rFonts w:ascii="宋体" w:hAnsi="宋体"/>
          <w:kern w:val="0"/>
          <w:szCs w:val="21"/>
        </w:rPr>
      </w:pPr>
      <w:r>
        <w:rPr>
          <w:rFonts w:hint="eastAsia" w:ascii="宋体" w:hAnsi="宋体"/>
          <w:kern w:val="0"/>
          <w:szCs w:val="21"/>
        </w:rPr>
        <w:t xml:space="preserve">    （3）在“标的名称”下划线处填写</w:t>
      </w:r>
      <w:r>
        <w:rPr>
          <w:rFonts w:hint="eastAsia" w:ascii="宋体" w:hAnsi="宋体"/>
          <w:b/>
          <w:color w:val="FF0000"/>
          <w:kern w:val="0"/>
          <w:szCs w:val="21"/>
        </w:rPr>
        <w:t>采购标的（货物或服务或工程）的具体名称</w:t>
      </w:r>
      <w:r>
        <w:rPr>
          <w:rFonts w:hint="eastAsia" w:ascii="宋体" w:hAnsi="宋体"/>
          <w:b/>
          <w:bCs/>
          <w:color w:val="FF0000"/>
          <w:kern w:val="0"/>
          <w:szCs w:val="21"/>
        </w:rPr>
        <w:t>（具体详见第二章招标项目需求，如涉及多项标的，投标人需逐项进行响应）</w:t>
      </w:r>
      <w:r>
        <w:rPr>
          <w:rFonts w:hint="eastAsia" w:ascii="宋体" w:hAnsi="宋体"/>
          <w:kern w:val="0"/>
          <w:szCs w:val="21"/>
        </w:rPr>
        <w:t>；</w:t>
      </w:r>
    </w:p>
    <w:p w14:paraId="130315E1">
      <w:pPr>
        <w:snapToGrid w:val="0"/>
        <w:spacing w:line="360" w:lineRule="auto"/>
        <w:jc w:val="left"/>
        <w:rPr>
          <w:rFonts w:ascii="宋体" w:hAnsi="宋体"/>
          <w:kern w:val="0"/>
          <w:szCs w:val="21"/>
        </w:rPr>
      </w:pPr>
      <w:r>
        <w:rPr>
          <w:rFonts w:hint="eastAsia" w:ascii="宋体" w:hAnsi="宋体"/>
          <w:kern w:val="0"/>
          <w:szCs w:val="21"/>
        </w:rPr>
        <w:t xml:space="preserve">    （4）在“</w:t>
      </w:r>
      <w:r>
        <w:rPr>
          <w:rFonts w:ascii="宋体" w:hAnsi="宋体"/>
          <w:szCs w:val="21"/>
        </w:rPr>
        <w:t>采购文件</w:t>
      </w:r>
      <w:r>
        <w:rPr>
          <w:rFonts w:hint="eastAsia" w:ascii="宋体" w:hAnsi="宋体"/>
          <w:kern w:val="0"/>
          <w:szCs w:val="21"/>
        </w:rPr>
        <w:t>中明确的所属行业”下划线处填写</w:t>
      </w:r>
      <w:r>
        <w:rPr>
          <w:rFonts w:hint="eastAsia" w:ascii="宋体" w:hAnsi="宋体"/>
          <w:b/>
          <w:color w:val="FF0000"/>
          <w:kern w:val="0"/>
          <w:szCs w:val="21"/>
        </w:rPr>
        <w:t>采购文件规定的本项目所属行业</w:t>
      </w:r>
      <w:r>
        <w:rPr>
          <w:rFonts w:hint="eastAsia" w:ascii="宋体" w:hAnsi="宋体"/>
          <w:b/>
          <w:bCs/>
          <w:color w:val="FF0000"/>
          <w:kern w:val="0"/>
          <w:szCs w:val="21"/>
        </w:rPr>
        <w:t>（详见其它关键信息）</w:t>
      </w:r>
      <w:r>
        <w:rPr>
          <w:rFonts w:hint="eastAsia" w:ascii="宋体" w:hAnsi="宋体"/>
          <w:kern w:val="0"/>
          <w:szCs w:val="21"/>
        </w:rPr>
        <w:t>；</w:t>
      </w:r>
    </w:p>
    <w:p w14:paraId="12F7AF48">
      <w:pPr>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33D21A1C">
      <w:pPr>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14:paraId="5D8158D3">
      <w:pPr>
        <w:snapToGrid w:val="0"/>
        <w:spacing w:line="360" w:lineRule="auto"/>
        <w:ind w:firstLine="426" w:firstLineChars="202"/>
        <w:jc w:val="left"/>
        <w:rPr>
          <w:rFonts w:ascii="宋体" w:hAnsi="宋体"/>
          <w:b/>
          <w:color w:val="FF0000"/>
          <w:kern w:val="0"/>
          <w:szCs w:val="21"/>
        </w:rPr>
      </w:pPr>
      <w:r>
        <w:rPr>
          <w:rFonts w:hint="eastAsia" w:ascii="宋体" w:hAnsi="宋体"/>
          <w:b/>
          <w:color w:val="FF0000"/>
          <w:kern w:val="0"/>
          <w:szCs w:val="21"/>
        </w:rPr>
        <w:t>（7）如为联合体投标或以分包形式投标的，需分别填写每家中小企业的企业名称、从业人员、营业收入、资产总额、企业类别（中型企业、小型企业、微型企业）等信息；</w:t>
      </w:r>
    </w:p>
    <w:p w14:paraId="4B395BD8">
      <w:pPr>
        <w:snapToGrid w:val="0"/>
        <w:spacing w:line="360" w:lineRule="auto"/>
        <w:ind w:firstLine="426" w:firstLineChars="202"/>
        <w:jc w:val="left"/>
        <w:rPr>
          <w:rFonts w:ascii="宋体" w:hAnsi="宋体"/>
          <w:kern w:val="0"/>
          <w:szCs w:val="21"/>
        </w:rPr>
      </w:pPr>
      <w:r>
        <w:rPr>
          <w:rFonts w:hint="eastAsia" w:ascii="宋体" w:hAnsi="宋体"/>
          <w:b/>
          <w:color w:val="FF0000"/>
          <w:kern w:val="0"/>
          <w:szCs w:val="21"/>
        </w:rPr>
        <w:t>（8）</w:t>
      </w:r>
      <w:r>
        <w:rPr>
          <w:rFonts w:hint="eastAsia" w:ascii="Calibri" w:hAnsi="Calibri"/>
          <w:b/>
          <w:color w:val="FF0000"/>
          <w:szCs w:val="22"/>
        </w:rPr>
        <w:t>《中小企业声明函》中制造商、承接/承建企业所属行业应当与招标文件要求的行业相一致</w:t>
      </w:r>
      <w:r>
        <w:rPr>
          <w:rFonts w:hint="eastAsia" w:ascii="Calibri" w:hAnsi="Calibr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0FF0F66E">
      <w:pPr>
        <w:snapToGrid w:val="0"/>
        <w:spacing w:line="360" w:lineRule="auto"/>
        <w:jc w:val="left"/>
        <w:rPr>
          <w:rFonts w:ascii="黑体" w:hAnsi="宋体" w:eastAsia="黑体"/>
          <w:bCs/>
          <w:kern w:val="0"/>
          <w:sz w:val="24"/>
          <w:szCs w:val="32"/>
        </w:rPr>
      </w:pPr>
      <w:r>
        <w:rPr>
          <w:rFonts w:hint="eastAsia" w:ascii="宋体" w:hAnsi="宋体"/>
          <w:kern w:val="0"/>
          <w:szCs w:val="21"/>
        </w:rPr>
        <w:t xml:space="preserve">   </w:t>
      </w:r>
    </w:p>
    <w:p w14:paraId="13CD6BD1">
      <w:pPr>
        <w:spacing w:after="60"/>
        <w:jc w:val="center"/>
        <w:outlineLvl w:val="3"/>
        <w:rPr>
          <w:b/>
          <w:sz w:val="24"/>
        </w:rPr>
      </w:pPr>
      <w:r>
        <w:rPr>
          <w:rFonts w:hint="eastAsia"/>
          <w:b/>
          <w:sz w:val="24"/>
        </w:rPr>
        <w:t>1、中小企业声明函</w:t>
      </w:r>
    </w:p>
    <w:p w14:paraId="2C91983D">
      <w:pPr>
        <w:pStyle w:val="22"/>
        <w:spacing w:line="360" w:lineRule="exact"/>
        <w:ind w:right="-51" w:firstLine="412"/>
        <w:rPr>
          <w:rFonts w:asciiTheme="minorEastAsia" w:hAnsiTheme="minorEastAsia" w:eastAsiaTheme="minorEastAsia"/>
          <w:b w:val="0"/>
          <w:sz w:val="21"/>
          <w:szCs w:val="21"/>
        </w:rPr>
      </w:pPr>
      <w:r>
        <w:rPr>
          <w:rFonts w:asciiTheme="minorEastAsia" w:hAnsiTheme="minorEastAsia" w:eastAsiaTheme="minorEastAsia"/>
          <w:b w:val="0"/>
          <w:sz w:val="21"/>
          <w:szCs w:val="21"/>
        </w:rPr>
        <w:t>本公司（联合体）郑重声明，根据《政府采购促进中小企业发展管理办法》（财库</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2020</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46 号）的规定，本公司（联合体）参加</w:t>
      </w:r>
      <w:r>
        <w:rPr>
          <w:rFonts w:asciiTheme="minorEastAsia" w:hAnsiTheme="minorEastAsia" w:eastAsiaTheme="minorEastAsia"/>
          <w:b w:val="0"/>
          <w:sz w:val="21"/>
          <w:szCs w:val="21"/>
          <w:u w:val="single"/>
        </w:rPr>
        <w:t>（单位名称）</w:t>
      </w:r>
      <w:r>
        <w:rPr>
          <w:rFonts w:asciiTheme="minorEastAsia" w:hAnsiTheme="minorEastAsia" w:eastAsiaTheme="minorEastAsia"/>
          <w:b w:val="0"/>
          <w:sz w:val="21"/>
          <w:szCs w:val="21"/>
        </w:rPr>
        <w:t>的</w:t>
      </w:r>
      <w:r>
        <w:rPr>
          <w:rFonts w:asciiTheme="minorEastAsia" w:hAnsiTheme="minorEastAsia" w:eastAsiaTheme="minorEastAsia"/>
          <w:b w:val="0"/>
          <w:sz w:val="21"/>
          <w:szCs w:val="21"/>
          <w:u w:val="single"/>
        </w:rPr>
        <w:t>（项目名称）</w:t>
      </w:r>
      <w:r>
        <w:rPr>
          <w:rFonts w:asciiTheme="minorEastAsia" w:hAnsiTheme="minorEastAsia" w:eastAsiaTheme="minorEastAsia"/>
          <w:b w:val="0"/>
          <w:sz w:val="21"/>
          <w:szCs w:val="21"/>
        </w:rPr>
        <w:t>采购活动，</w:t>
      </w:r>
      <w:r>
        <w:rPr>
          <w:rFonts w:hint="eastAsia" w:asciiTheme="minorEastAsia" w:hAnsiTheme="minorEastAsia" w:eastAsiaTheme="minorEastAsia"/>
          <w:b w:val="0"/>
          <w:sz w:val="21"/>
          <w:szCs w:val="21"/>
        </w:rPr>
        <w:t>工程的施工单位全部为符合政策要求的中小企业</w:t>
      </w:r>
      <w:r>
        <w:rPr>
          <w:rFonts w:asciiTheme="minorEastAsia" w:hAnsiTheme="minorEastAsia" w:eastAsiaTheme="minorEastAsia"/>
          <w:b w:val="0"/>
          <w:sz w:val="21"/>
          <w:szCs w:val="21"/>
        </w:rPr>
        <w:t>。相关企业（含联合体中的中小企业、签订分包意向协议的中小企业）的具体情况如下：</w:t>
      </w:r>
    </w:p>
    <w:p w14:paraId="294064E0">
      <w:pPr>
        <w:pStyle w:val="22"/>
        <w:spacing w:line="360" w:lineRule="exact"/>
        <w:ind w:right="-51"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1.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w:t>
      </w:r>
      <w:r>
        <w:rPr>
          <w:rFonts w:hint="eastAsia" w:asciiTheme="minorEastAsia" w:hAnsiTheme="minorEastAsia" w:eastAsiaTheme="minorEastAsia"/>
          <w:b w:val="0"/>
          <w:sz w:val="21"/>
          <w:szCs w:val="21"/>
        </w:rPr>
        <w:t>建</w:t>
      </w:r>
      <w:r>
        <w:rPr>
          <w:rFonts w:asciiTheme="minorEastAsia" w:hAnsiTheme="minorEastAsia" w:eastAsiaTheme="minorEastAsia"/>
          <w:b w:val="0"/>
          <w:sz w:val="21"/>
          <w:szCs w:val="21"/>
        </w:rPr>
        <w:t>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71CDDD80">
      <w:pPr>
        <w:pStyle w:val="22"/>
        <w:spacing w:line="360" w:lineRule="exact"/>
        <w:ind w:right="-51"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2.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w:t>
      </w:r>
      <w:r>
        <w:rPr>
          <w:rFonts w:hint="eastAsia" w:asciiTheme="minorEastAsia" w:hAnsiTheme="minorEastAsia" w:eastAsiaTheme="minorEastAsia"/>
          <w:b w:val="0"/>
          <w:sz w:val="21"/>
          <w:szCs w:val="21"/>
        </w:rPr>
        <w:t>建</w:t>
      </w:r>
      <w:r>
        <w:rPr>
          <w:rFonts w:asciiTheme="minorEastAsia" w:hAnsiTheme="minorEastAsia" w:eastAsiaTheme="minorEastAsia"/>
          <w:b w:val="0"/>
          <w:sz w:val="21"/>
          <w:szCs w:val="21"/>
        </w:rPr>
        <w:t>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6EA3BD28">
      <w:pPr>
        <w:pStyle w:val="22"/>
        <w:spacing w:before="11" w:line="360" w:lineRule="exact"/>
        <w:ind w:right="-51" w:firstLine="424" w:firstLineChars="202"/>
        <w:rPr>
          <w:rFonts w:asciiTheme="minorEastAsia" w:hAnsiTheme="minorEastAsia" w:eastAsiaTheme="minorEastAsia"/>
          <w:b w:val="0"/>
          <w:sz w:val="21"/>
          <w:szCs w:val="21"/>
        </w:rPr>
      </w:pPr>
      <w:r>
        <w:rPr>
          <w:rFonts w:asciiTheme="minorEastAsia" w:hAnsiTheme="minorEastAsia" w:eastAsiaTheme="minorEastAsia"/>
          <w:b w:val="0"/>
          <w:sz w:val="21"/>
          <w:szCs w:val="21"/>
        </w:rPr>
        <w:t>……</w:t>
      </w:r>
    </w:p>
    <w:p w14:paraId="64B174A2">
      <w:pPr>
        <w:pStyle w:val="22"/>
        <w:spacing w:before="108" w:line="360" w:lineRule="exact"/>
        <w:ind w:right="-51" w:firstLine="408"/>
        <w:rPr>
          <w:rFonts w:asciiTheme="minorEastAsia" w:hAnsiTheme="minorEastAsia" w:eastAsiaTheme="minorEastAsia"/>
          <w:b w:val="0"/>
          <w:sz w:val="21"/>
          <w:szCs w:val="21"/>
        </w:rPr>
      </w:pPr>
      <w:r>
        <w:rPr>
          <w:rFonts w:asciiTheme="minorEastAsia" w:hAnsiTheme="minorEastAsia" w:eastAsiaTheme="minorEastAsia"/>
          <w:b w:val="0"/>
          <w:sz w:val="21"/>
          <w:szCs w:val="21"/>
        </w:rPr>
        <w:t>以上企业，不属于大企业的分支机构，不存在控股股东为大企业的情形，也不存在与大企业的负责人为同一人的情形。</w:t>
      </w:r>
    </w:p>
    <w:p w14:paraId="204CD5E0">
      <w:pPr>
        <w:spacing w:line="360" w:lineRule="exact"/>
        <w:ind w:right="-5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2EFFA115">
      <w:pPr>
        <w:spacing w:line="360" w:lineRule="exact"/>
        <w:ind w:right="-51"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063C367E">
      <w:pPr>
        <w:spacing w:line="360" w:lineRule="exact"/>
        <w:jc w:val="center"/>
      </w:pPr>
      <w:r>
        <w:rPr>
          <w:rFonts w:hint="eastAsia"/>
          <w:szCs w:val="21"/>
        </w:rPr>
        <w:t xml:space="preserve">                           企业名称：</w:t>
      </w:r>
    </w:p>
    <w:p w14:paraId="465273E3">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2C29D15">
      <w:pPr>
        <w:spacing w:line="360" w:lineRule="exact"/>
        <w:ind w:firstLine="420" w:firstLineChars="200"/>
        <w:rPr>
          <w:rFonts w:ascii="宋体" w:hAnsi="宋体"/>
          <w:szCs w:val="21"/>
        </w:rPr>
      </w:pPr>
      <w:r>
        <w:rPr>
          <w:rFonts w:hint="eastAsia" w:ascii="宋体" w:hAnsi="宋体"/>
          <w:szCs w:val="21"/>
        </w:rPr>
        <w:t>备注：</w:t>
      </w:r>
    </w:p>
    <w:p w14:paraId="782024C2">
      <w:pPr>
        <w:spacing w:line="360" w:lineRule="exact"/>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7A9B4BB6">
      <w:pPr>
        <w:spacing w:line="360" w:lineRule="exact"/>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6AF9EFD4">
      <w:pPr>
        <w:spacing w:line="360" w:lineRule="exact"/>
        <w:ind w:firstLine="424" w:firstLineChars="202"/>
        <w:rPr>
          <w:rFonts w:ascii="宋体" w:hAnsi="宋体"/>
          <w:szCs w:val="22"/>
        </w:rPr>
      </w:pPr>
      <w:r>
        <w:rPr>
          <w:rFonts w:hint="eastAsia" w:ascii="宋体" w:hAnsi="宋体"/>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宋体" w:hAnsi="宋体"/>
          <w:b/>
          <w:szCs w:val="22"/>
        </w:rPr>
        <w:t>《中小企业声明函》中相关企业所属行业应当与采购标的所属行业相一致</w:t>
      </w:r>
      <w:r>
        <w:rPr>
          <w:rFonts w:hint="eastAsia" w:ascii="宋体" w:hAnsi="宋体"/>
          <w:szCs w:val="22"/>
        </w:rPr>
        <w:t>。</w:t>
      </w:r>
    </w:p>
    <w:p w14:paraId="79ED926F">
      <w:pPr>
        <w:spacing w:line="360" w:lineRule="exact"/>
        <w:ind w:firstLine="420" w:firstLineChars="200"/>
        <w:rPr>
          <w:rFonts w:ascii="宋体" w:hAnsi="宋体"/>
          <w:szCs w:val="21"/>
        </w:rPr>
      </w:pPr>
    </w:p>
    <w:p w14:paraId="16A6B8D2">
      <w:pPr>
        <w:spacing w:line="360" w:lineRule="exact"/>
        <w:ind w:firstLine="420" w:firstLineChars="200"/>
        <w:rPr>
          <w:rFonts w:ascii="宋体" w:hAnsi="宋体"/>
          <w:szCs w:val="21"/>
        </w:rPr>
      </w:pPr>
    </w:p>
    <w:p w14:paraId="29E05CAE">
      <w:pPr>
        <w:spacing w:after="60" w:line="360" w:lineRule="exact"/>
        <w:jc w:val="center"/>
        <w:outlineLvl w:val="3"/>
        <w:rPr>
          <w:b/>
          <w:sz w:val="24"/>
        </w:rPr>
      </w:pPr>
      <w:r>
        <w:rPr>
          <w:rFonts w:hint="eastAsia"/>
          <w:b/>
          <w:sz w:val="24"/>
        </w:rPr>
        <w:t>2、监狱企业声明函</w:t>
      </w:r>
    </w:p>
    <w:p w14:paraId="3DF0793C">
      <w:pPr>
        <w:spacing w:after="60" w:line="360" w:lineRule="exact"/>
        <w:ind w:firstLine="420" w:firstLineChars="200"/>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1BA07910">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C96151E">
      <w:pPr>
        <w:spacing w:line="360" w:lineRule="exact"/>
        <w:jc w:val="center"/>
      </w:pPr>
      <w:r>
        <w:rPr>
          <w:rFonts w:hint="eastAsia"/>
          <w:szCs w:val="21"/>
        </w:rPr>
        <w:t xml:space="preserve">                             单位名称：</w:t>
      </w:r>
    </w:p>
    <w:p w14:paraId="0B33B02E">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67DFBC2">
      <w:pPr>
        <w:spacing w:line="360" w:lineRule="exact"/>
        <w:ind w:firstLine="645"/>
        <w:rPr>
          <w:rFonts w:ascii="宋体"/>
          <w:b/>
          <w:szCs w:val="21"/>
        </w:rPr>
      </w:pPr>
      <w:r>
        <w:rPr>
          <w:rFonts w:hint="eastAsia" w:ascii="宋体" w:hAnsi="宋体"/>
          <w:szCs w:val="21"/>
        </w:rPr>
        <w:t xml:space="preserve">                                    </w:t>
      </w:r>
    </w:p>
    <w:p w14:paraId="1518E88C">
      <w:pPr>
        <w:spacing w:after="60" w:line="360" w:lineRule="exact"/>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010BF143">
      <w:pPr>
        <w:ind w:left="723" w:hanging="723" w:hangingChars="300"/>
        <w:rPr>
          <w:b/>
          <w:sz w:val="24"/>
        </w:rPr>
      </w:pPr>
    </w:p>
    <w:p w14:paraId="7375EFA0">
      <w:pPr>
        <w:spacing w:line="360" w:lineRule="exact"/>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2346092E">
      <w:pPr>
        <w:spacing w:after="60" w:line="360" w:lineRule="exact"/>
        <w:ind w:firstLine="420" w:firstLineChars="200"/>
        <w:rPr>
          <w:rFonts w:ascii="宋体" w:hAnsi="宋体"/>
          <w:szCs w:val="21"/>
        </w:rPr>
      </w:pPr>
      <w:r>
        <w:rPr>
          <w:rFonts w:hint="eastAsia" w:ascii="宋体" w:hAnsi="宋体"/>
          <w:szCs w:val="21"/>
        </w:rPr>
        <w:t xml:space="preserve">                                     </w:t>
      </w:r>
    </w:p>
    <w:p w14:paraId="01F1D716">
      <w:pPr>
        <w:spacing w:after="60" w:line="360" w:lineRule="exact"/>
        <w:jc w:val="center"/>
        <w:outlineLvl w:val="3"/>
        <w:rPr>
          <w:b/>
          <w:bCs/>
        </w:rPr>
      </w:pPr>
      <w:r>
        <w:rPr>
          <w:rFonts w:hint="eastAsia"/>
          <w:b/>
          <w:sz w:val="24"/>
        </w:rPr>
        <w:t>3、残疾人福利性单位声明函</w:t>
      </w:r>
    </w:p>
    <w:p w14:paraId="5BB2B5E6">
      <w:pPr>
        <w:spacing w:line="360" w:lineRule="exact"/>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项目采购活动，由本单位承担工程。</w:t>
      </w:r>
    </w:p>
    <w:p w14:paraId="2E652F39">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A0B68C8">
      <w:pPr>
        <w:spacing w:after="60" w:line="360" w:lineRule="exact"/>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02772D18">
      <w:pPr>
        <w:spacing w:line="360" w:lineRule="exact"/>
        <w:jc w:val="center"/>
      </w:pPr>
      <w:r>
        <w:rPr>
          <w:rFonts w:hint="eastAsia"/>
          <w:szCs w:val="21"/>
        </w:rPr>
        <w:t xml:space="preserve">                             单位名称：</w:t>
      </w:r>
    </w:p>
    <w:p w14:paraId="2F7D2DF7">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E0124EE">
      <w:pPr>
        <w:pStyle w:val="5"/>
        <w:spacing w:line="360" w:lineRule="exact"/>
        <w:ind w:firstLine="420" w:firstLineChars="200"/>
        <w:jc w:val="left"/>
      </w:pPr>
      <w:r>
        <w:rPr>
          <w:rFonts w:hint="eastAsia" w:ascii="宋体" w:hAnsi="宋体"/>
          <w:sz w:val="21"/>
          <w:szCs w:val="21"/>
        </w:rPr>
        <w:t>备注：填写前请认真阅读《财政部 民政部 中国残疾人联合会关于促进残疾人就业政府采购政策的通知》</w:t>
      </w:r>
      <w:r>
        <w:rPr>
          <w:rFonts w:ascii="宋体" w:hAnsi="宋体"/>
          <w:sz w:val="21"/>
          <w:szCs w:val="21"/>
        </w:rPr>
        <w:t>(</w:t>
      </w:r>
      <w:r>
        <w:rPr>
          <w:rFonts w:hint="eastAsia" w:ascii="宋体" w:hAnsi="宋体"/>
          <w:sz w:val="21"/>
          <w:szCs w:val="21"/>
        </w:rPr>
        <w:t>财库〔2017〕141号</w:t>
      </w:r>
      <w:r>
        <w:rPr>
          <w:rFonts w:ascii="宋体" w:hAnsi="宋体"/>
          <w:sz w:val="21"/>
          <w:szCs w:val="21"/>
        </w:rPr>
        <w:t>)</w:t>
      </w:r>
      <w:r>
        <w:rPr>
          <w:rFonts w:hint="eastAsia" w:ascii="宋体" w:hAnsi="宋体"/>
          <w:sz w:val="21"/>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2A6E8D1E">
      <w:pPr>
        <w:rPr>
          <w:rFonts w:ascii="Calibri" w:hAnsi="Calibri"/>
          <w:szCs w:val="22"/>
        </w:rPr>
      </w:pPr>
    </w:p>
    <w:p w14:paraId="4BD84452">
      <w:pPr>
        <w:ind w:firstLine="420" w:firstLineChars="200"/>
        <w:rPr>
          <w:rFonts w:ascii="Calibri" w:hAnsi="Calibri" w:cs="Courier New"/>
          <w:snapToGrid w:val="0"/>
          <w:szCs w:val="18"/>
        </w:rPr>
      </w:pPr>
    </w:p>
    <w:p w14:paraId="24833C75">
      <w:pPr>
        <w:rPr>
          <w:rFonts w:ascii="黑体" w:hAnsi="宋体" w:eastAsia="黑体"/>
          <w:bCs/>
          <w:kern w:val="0"/>
          <w:sz w:val="24"/>
          <w:szCs w:val="32"/>
        </w:rPr>
      </w:pPr>
      <w:r>
        <w:rPr>
          <w:rFonts w:hint="eastAsia" w:ascii="黑体" w:hAnsi="宋体" w:eastAsia="黑体"/>
          <w:bCs/>
          <w:kern w:val="0"/>
          <w:sz w:val="24"/>
          <w:szCs w:val="32"/>
        </w:rPr>
        <w:br w:type="page"/>
      </w:r>
    </w:p>
    <w:p w14:paraId="199DCB15">
      <w:pPr>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三、投标人情况介绍</w:t>
      </w:r>
    </w:p>
    <w:tbl>
      <w:tblPr>
        <w:tblStyle w:val="55"/>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59"/>
        <w:gridCol w:w="4432"/>
        <w:gridCol w:w="1411"/>
      </w:tblGrid>
      <w:tr w14:paraId="2A77DF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6C2F0F7">
            <w:pPr>
              <w:spacing w:after="60"/>
              <w:jc w:val="center"/>
              <w:rPr>
                <w:rFonts w:ascii="宋体" w:hAnsi="宋体"/>
                <w:b/>
                <w:szCs w:val="21"/>
              </w:rPr>
            </w:pPr>
            <w:r>
              <w:rPr>
                <w:rFonts w:hint="eastAsia" w:ascii="宋体" w:hAnsi="宋体"/>
                <w:b/>
                <w:szCs w:val="21"/>
              </w:rPr>
              <w:t>序号</w:t>
            </w:r>
          </w:p>
        </w:tc>
        <w:tc>
          <w:tcPr>
            <w:tcW w:w="2559" w:type="dxa"/>
          </w:tcPr>
          <w:p w14:paraId="01F35363">
            <w:pPr>
              <w:spacing w:after="60"/>
              <w:jc w:val="center"/>
              <w:rPr>
                <w:rFonts w:ascii="宋体" w:hAnsi="宋体"/>
                <w:b/>
                <w:szCs w:val="21"/>
              </w:rPr>
            </w:pPr>
            <w:r>
              <w:rPr>
                <w:rFonts w:hint="eastAsia" w:ascii="宋体" w:hAnsi="宋体"/>
                <w:b/>
                <w:szCs w:val="21"/>
              </w:rPr>
              <w:t>项</w:t>
            </w:r>
            <w:r>
              <w:rPr>
                <w:rFonts w:ascii="宋体" w:hAnsi="宋体"/>
                <w:b/>
                <w:szCs w:val="21"/>
              </w:rPr>
              <w:t xml:space="preserve">  </w:t>
            </w:r>
            <w:r>
              <w:rPr>
                <w:rFonts w:hint="eastAsia" w:ascii="宋体" w:hAnsi="宋体"/>
                <w:b/>
                <w:szCs w:val="21"/>
              </w:rPr>
              <w:t>目</w:t>
            </w:r>
          </w:p>
        </w:tc>
        <w:tc>
          <w:tcPr>
            <w:tcW w:w="4432" w:type="dxa"/>
            <w:vAlign w:val="center"/>
          </w:tcPr>
          <w:p w14:paraId="46ADFFF3">
            <w:pPr>
              <w:spacing w:after="60"/>
              <w:jc w:val="center"/>
              <w:rPr>
                <w:rFonts w:ascii="宋体" w:hAnsi="宋体"/>
                <w:b/>
                <w:szCs w:val="21"/>
              </w:rPr>
            </w:pPr>
            <w:r>
              <w:rPr>
                <w:rFonts w:hint="eastAsia" w:ascii="宋体" w:hAnsi="宋体"/>
                <w:b/>
                <w:szCs w:val="21"/>
              </w:rPr>
              <w:t>内容及说明</w:t>
            </w:r>
          </w:p>
        </w:tc>
        <w:tc>
          <w:tcPr>
            <w:tcW w:w="1411" w:type="dxa"/>
            <w:vAlign w:val="center"/>
          </w:tcPr>
          <w:p w14:paraId="59B1970E">
            <w:pPr>
              <w:spacing w:after="60"/>
              <w:jc w:val="center"/>
              <w:rPr>
                <w:rFonts w:ascii="宋体" w:hAnsi="宋体"/>
                <w:b/>
                <w:szCs w:val="21"/>
              </w:rPr>
            </w:pPr>
            <w:r>
              <w:rPr>
                <w:rFonts w:hint="eastAsia" w:ascii="宋体" w:hAnsi="宋体"/>
                <w:b/>
                <w:szCs w:val="21"/>
              </w:rPr>
              <w:t>备注</w:t>
            </w:r>
          </w:p>
        </w:tc>
      </w:tr>
      <w:tr w14:paraId="34A848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D5B458D">
            <w:pPr>
              <w:spacing w:after="60"/>
              <w:jc w:val="center"/>
              <w:rPr>
                <w:rFonts w:ascii="宋体" w:hAnsi="宋体"/>
                <w:b/>
                <w:szCs w:val="21"/>
              </w:rPr>
            </w:pPr>
            <w:r>
              <w:rPr>
                <w:rFonts w:hint="eastAsia" w:ascii="宋体" w:hAnsi="宋体"/>
                <w:b/>
                <w:szCs w:val="21"/>
              </w:rPr>
              <w:t>一</w:t>
            </w:r>
          </w:p>
        </w:tc>
        <w:tc>
          <w:tcPr>
            <w:tcW w:w="6991" w:type="dxa"/>
            <w:gridSpan w:val="2"/>
          </w:tcPr>
          <w:p w14:paraId="0217FE3F">
            <w:pPr>
              <w:spacing w:after="60"/>
              <w:rPr>
                <w:rFonts w:ascii="宋体" w:hAnsi="宋体"/>
                <w:b/>
                <w:szCs w:val="21"/>
              </w:rPr>
            </w:pPr>
            <w:r>
              <w:rPr>
                <w:rFonts w:hint="eastAsia" w:ascii="宋体" w:hAnsi="宋体"/>
                <w:b/>
                <w:szCs w:val="21"/>
              </w:rPr>
              <w:t>营业执照</w:t>
            </w:r>
          </w:p>
        </w:tc>
        <w:tc>
          <w:tcPr>
            <w:tcW w:w="1411" w:type="dxa"/>
            <w:vAlign w:val="center"/>
          </w:tcPr>
          <w:p w14:paraId="7C1602C9">
            <w:pPr>
              <w:spacing w:after="60"/>
              <w:jc w:val="center"/>
              <w:rPr>
                <w:rFonts w:ascii="宋体" w:hAnsi="宋体"/>
                <w:szCs w:val="21"/>
              </w:rPr>
            </w:pPr>
          </w:p>
        </w:tc>
      </w:tr>
      <w:tr w14:paraId="5B844A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5503099">
            <w:pPr>
              <w:spacing w:after="60"/>
              <w:jc w:val="center"/>
              <w:rPr>
                <w:rFonts w:ascii="宋体" w:hAnsi="宋体"/>
                <w:szCs w:val="21"/>
              </w:rPr>
            </w:pPr>
            <w:r>
              <w:rPr>
                <w:rFonts w:ascii="宋体" w:hAnsi="宋体"/>
                <w:szCs w:val="21"/>
              </w:rPr>
              <w:t>1</w:t>
            </w:r>
          </w:p>
        </w:tc>
        <w:tc>
          <w:tcPr>
            <w:tcW w:w="2559" w:type="dxa"/>
            <w:vAlign w:val="center"/>
          </w:tcPr>
          <w:p w14:paraId="4F09CFE3">
            <w:pPr>
              <w:spacing w:after="60"/>
              <w:jc w:val="center"/>
              <w:rPr>
                <w:rFonts w:ascii="宋体" w:hAnsi="宋体"/>
                <w:szCs w:val="21"/>
              </w:rPr>
            </w:pPr>
            <w:r>
              <w:rPr>
                <w:rFonts w:hint="eastAsia" w:ascii="宋体" w:hAnsi="宋体"/>
                <w:szCs w:val="21"/>
              </w:rPr>
              <w:t>注册年度及注册编号</w:t>
            </w:r>
          </w:p>
        </w:tc>
        <w:tc>
          <w:tcPr>
            <w:tcW w:w="4432" w:type="dxa"/>
            <w:vAlign w:val="center"/>
          </w:tcPr>
          <w:p w14:paraId="7F3E0F45">
            <w:pPr>
              <w:spacing w:after="60"/>
              <w:rPr>
                <w:rFonts w:ascii="宋体" w:hAnsi="宋体"/>
                <w:szCs w:val="21"/>
              </w:rPr>
            </w:pPr>
          </w:p>
        </w:tc>
        <w:tc>
          <w:tcPr>
            <w:tcW w:w="1411" w:type="dxa"/>
            <w:vAlign w:val="center"/>
          </w:tcPr>
          <w:p w14:paraId="64D3B838">
            <w:pPr>
              <w:spacing w:after="60"/>
              <w:jc w:val="center"/>
              <w:rPr>
                <w:rFonts w:ascii="宋体" w:hAnsi="宋体"/>
                <w:szCs w:val="21"/>
              </w:rPr>
            </w:pPr>
          </w:p>
        </w:tc>
      </w:tr>
      <w:tr w14:paraId="60D255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236ADB1">
            <w:pPr>
              <w:spacing w:after="60"/>
              <w:jc w:val="center"/>
              <w:rPr>
                <w:rFonts w:ascii="宋体" w:hAnsi="宋体"/>
                <w:szCs w:val="21"/>
              </w:rPr>
            </w:pPr>
            <w:r>
              <w:rPr>
                <w:rFonts w:ascii="宋体" w:hAnsi="宋体"/>
                <w:szCs w:val="21"/>
              </w:rPr>
              <w:t>2</w:t>
            </w:r>
          </w:p>
        </w:tc>
        <w:tc>
          <w:tcPr>
            <w:tcW w:w="2559" w:type="dxa"/>
            <w:vAlign w:val="center"/>
          </w:tcPr>
          <w:p w14:paraId="792FFEE6">
            <w:pPr>
              <w:spacing w:after="60"/>
              <w:jc w:val="center"/>
              <w:rPr>
                <w:rFonts w:ascii="宋体" w:hAnsi="宋体"/>
                <w:szCs w:val="21"/>
              </w:rPr>
            </w:pPr>
            <w:r>
              <w:rPr>
                <w:rFonts w:hint="eastAsia" w:ascii="宋体" w:hAnsi="宋体"/>
                <w:szCs w:val="21"/>
              </w:rPr>
              <w:t>注册资金（万元）</w:t>
            </w:r>
          </w:p>
        </w:tc>
        <w:tc>
          <w:tcPr>
            <w:tcW w:w="4432" w:type="dxa"/>
            <w:vAlign w:val="center"/>
          </w:tcPr>
          <w:p w14:paraId="4CBC8B26">
            <w:pPr>
              <w:spacing w:after="60"/>
              <w:rPr>
                <w:rFonts w:ascii="宋体" w:hAnsi="宋体"/>
                <w:szCs w:val="21"/>
              </w:rPr>
            </w:pPr>
          </w:p>
        </w:tc>
        <w:tc>
          <w:tcPr>
            <w:tcW w:w="1411" w:type="dxa"/>
            <w:vAlign w:val="center"/>
          </w:tcPr>
          <w:p w14:paraId="4CA32A16">
            <w:pPr>
              <w:spacing w:after="60"/>
              <w:jc w:val="center"/>
              <w:rPr>
                <w:rFonts w:ascii="宋体" w:hAnsi="宋体"/>
                <w:szCs w:val="21"/>
              </w:rPr>
            </w:pPr>
          </w:p>
        </w:tc>
      </w:tr>
      <w:tr w14:paraId="7DED4B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CF61369">
            <w:pPr>
              <w:spacing w:after="60"/>
              <w:jc w:val="center"/>
              <w:rPr>
                <w:rFonts w:ascii="宋体" w:hAnsi="宋体"/>
                <w:szCs w:val="21"/>
              </w:rPr>
            </w:pPr>
            <w:r>
              <w:rPr>
                <w:rFonts w:hint="eastAsia" w:ascii="宋体" w:hAnsi="宋体"/>
                <w:szCs w:val="21"/>
              </w:rPr>
              <w:t>3</w:t>
            </w:r>
          </w:p>
        </w:tc>
        <w:tc>
          <w:tcPr>
            <w:tcW w:w="2559" w:type="dxa"/>
            <w:vAlign w:val="center"/>
          </w:tcPr>
          <w:p w14:paraId="50E99885">
            <w:pPr>
              <w:spacing w:after="60"/>
              <w:jc w:val="center"/>
              <w:rPr>
                <w:rFonts w:ascii="宋体" w:hAnsi="宋体"/>
                <w:szCs w:val="21"/>
              </w:rPr>
            </w:pPr>
            <w:r>
              <w:rPr>
                <w:rFonts w:hint="eastAsia" w:ascii="宋体" w:hAnsi="宋体"/>
                <w:szCs w:val="21"/>
              </w:rPr>
              <w:t>法定代表人</w:t>
            </w:r>
          </w:p>
        </w:tc>
        <w:tc>
          <w:tcPr>
            <w:tcW w:w="4432" w:type="dxa"/>
            <w:vAlign w:val="center"/>
          </w:tcPr>
          <w:p w14:paraId="740466E0">
            <w:pPr>
              <w:spacing w:after="60"/>
              <w:rPr>
                <w:rFonts w:ascii="宋体" w:hAnsi="宋体"/>
                <w:szCs w:val="21"/>
              </w:rPr>
            </w:pPr>
          </w:p>
        </w:tc>
        <w:tc>
          <w:tcPr>
            <w:tcW w:w="1411" w:type="dxa"/>
            <w:vAlign w:val="center"/>
          </w:tcPr>
          <w:p w14:paraId="709BDDAD">
            <w:pPr>
              <w:spacing w:after="60"/>
              <w:jc w:val="center"/>
              <w:rPr>
                <w:rFonts w:ascii="宋体" w:hAnsi="宋体"/>
                <w:szCs w:val="21"/>
              </w:rPr>
            </w:pPr>
          </w:p>
        </w:tc>
      </w:tr>
      <w:tr w14:paraId="25D84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43AC57B6">
            <w:pPr>
              <w:spacing w:after="60"/>
              <w:jc w:val="center"/>
              <w:rPr>
                <w:rFonts w:ascii="宋体" w:hAnsi="宋体"/>
                <w:szCs w:val="21"/>
              </w:rPr>
            </w:pPr>
            <w:r>
              <w:rPr>
                <w:rFonts w:hint="eastAsia" w:ascii="宋体" w:hAnsi="宋体"/>
                <w:szCs w:val="21"/>
              </w:rPr>
              <w:t>4</w:t>
            </w:r>
          </w:p>
        </w:tc>
        <w:tc>
          <w:tcPr>
            <w:tcW w:w="2559" w:type="dxa"/>
            <w:vAlign w:val="center"/>
          </w:tcPr>
          <w:p w14:paraId="71180FAC">
            <w:pPr>
              <w:spacing w:after="60"/>
              <w:jc w:val="center"/>
              <w:rPr>
                <w:rFonts w:ascii="宋体" w:hAnsi="宋体"/>
                <w:szCs w:val="21"/>
              </w:rPr>
            </w:pPr>
            <w:r>
              <w:rPr>
                <w:rFonts w:hint="eastAsia" w:ascii="宋体" w:hAnsi="宋体"/>
                <w:szCs w:val="21"/>
              </w:rPr>
              <w:t>住所地</w:t>
            </w:r>
          </w:p>
        </w:tc>
        <w:tc>
          <w:tcPr>
            <w:tcW w:w="4432" w:type="dxa"/>
            <w:vAlign w:val="center"/>
          </w:tcPr>
          <w:p w14:paraId="4938047F">
            <w:pPr>
              <w:spacing w:after="60"/>
              <w:rPr>
                <w:rFonts w:ascii="宋体" w:hAnsi="宋体"/>
                <w:szCs w:val="21"/>
              </w:rPr>
            </w:pPr>
          </w:p>
        </w:tc>
        <w:tc>
          <w:tcPr>
            <w:tcW w:w="1411" w:type="dxa"/>
            <w:vAlign w:val="center"/>
          </w:tcPr>
          <w:p w14:paraId="0EBD470D">
            <w:pPr>
              <w:spacing w:after="60"/>
              <w:jc w:val="center"/>
              <w:rPr>
                <w:rFonts w:ascii="宋体" w:hAnsi="宋体"/>
                <w:szCs w:val="21"/>
              </w:rPr>
            </w:pPr>
          </w:p>
        </w:tc>
      </w:tr>
      <w:tr w14:paraId="5BF30D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2628426">
            <w:pPr>
              <w:spacing w:after="60"/>
              <w:jc w:val="center"/>
              <w:rPr>
                <w:rFonts w:ascii="宋体" w:hAnsi="宋体"/>
                <w:szCs w:val="21"/>
              </w:rPr>
            </w:pPr>
            <w:r>
              <w:rPr>
                <w:rFonts w:hint="eastAsia" w:ascii="宋体" w:hAnsi="宋体"/>
                <w:szCs w:val="21"/>
              </w:rPr>
              <w:t>5</w:t>
            </w:r>
          </w:p>
        </w:tc>
        <w:tc>
          <w:tcPr>
            <w:tcW w:w="2559" w:type="dxa"/>
            <w:vAlign w:val="center"/>
          </w:tcPr>
          <w:p w14:paraId="6B0949A4">
            <w:pPr>
              <w:spacing w:after="60"/>
              <w:jc w:val="center"/>
              <w:rPr>
                <w:rFonts w:ascii="宋体" w:hAnsi="宋体"/>
                <w:szCs w:val="21"/>
              </w:rPr>
            </w:pPr>
            <w:r>
              <w:rPr>
                <w:rFonts w:hint="eastAsia" w:ascii="宋体" w:hAnsi="宋体"/>
                <w:szCs w:val="21"/>
              </w:rPr>
              <w:t>经营范围</w:t>
            </w:r>
          </w:p>
        </w:tc>
        <w:tc>
          <w:tcPr>
            <w:tcW w:w="4432" w:type="dxa"/>
            <w:vAlign w:val="center"/>
          </w:tcPr>
          <w:p w14:paraId="65985D97">
            <w:pPr>
              <w:spacing w:after="60"/>
              <w:rPr>
                <w:rFonts w:ascii="宋体" w:hAnsi="宋体"/>
                <w:szCs w:val="21"/>
              </w:rPr>
            </w:pPr>
          </w:p>
        </w:tc>
        <w:tc>
          <w:tcPr>
            <w:tcW w:w="1411" w:type="dxa"/>
            <w:vAlign w:val="center"/>
          </w:tcPr>
          <w:p w14:paraId="66664770">
            <w:pPr>
              <w:spacing w:after="60"/>
              <w:jc w:val="center"/>
              <w:rPr>
                <w:rFonts w:ascii="宋体" w:hAnsi="宋体"/>
                <w:szCs w:val="21"/>
              </w:rPr>
            </w:pPr>
          </w:p>
        </w:tc>
      </w:tr>
      <w:tr w14:paraId="4393F1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BB77271">
            <w:pPr>
              <w:spacing w:after="60"/>
              <w:jc w:val="center"/>
              <w:rPr>
                <w:rFonts w:ascii="宋体" w:hAnsi="宋体"/>
                <w:szCs w:val="21"/>
              </w:rPr>
            </w:pPr>
            <w:r>
              <w:rPr>
                <w:rFonts w:hint="eastAsia" w:ascii="宋体" w:hAnsi="宋体"/>
                <w:szCs w:val="21"/>
              </w:rPr>
              <w:t>6</w:t>
            </w:r>
          </w:p>
        </w:tc>
        <w:tc>
          <w:tcPr>
            <w:tcW w:w="2559" w:type="dxa"/>
            <w:vAlign w:val="center"/>
          </w:tcPr>
          <w:p w14:paraId="66D69142">
            <w:pPr>
              <w:spacing w:after="60"/>
              <w:jc w:val="center"/>
              <w:rPr>
                <w:rFonts w:ascii="宋体" w:hAnsi="宋体"/>
                <w:szCs w:val="21"/>
              </w:rPr>
            </w:pPr>
            <w:r>
              <w:rPr>
                <w:rFonts w:hint="eastAsia" w:ascii="宋体" w:hAnsi="宋体"/>
                <w:szCs w:val="21"/>
              </w:rPr>
              <w:t>开户银行及账号</w:t>
            </w:r>
          </w:p>
        </w:tc>
        <w:tc>
          <w:tcPr>
            <w:tcW w:w="4432" w:type="dxa"/>
            <w:vAlign w:val="center"/>
          </w:tcPr>
          <w:p w14:paraId="3858A621">
            <w:pPr>
              <w:spacing w:after="60"/>
              <w:rPr>
                <w:rFonts w:ascii="宋体" w:hAnsi="宋体"/>
                <w:szCs w:val="21"/>
              </w:rPr>
            </w:pPr>
          </w:p>
        </w:tc>
        <w:tc>
          <w:tcPr>
            <w:tcW w:w="1411" w:type="dxa"/>
            <w:vAlign w:val="center"/>
          </w:tcPr>
          <w:p w14:paraId="29A3DEA3">
            <w:pPr>
              <w:spacing w:after="60"/>
              <w:jc w:val="center"/>
              <w:rPr>
                <w:rFonts w:ascii="宋体" w:hAnsi="宋体"/>
                <w:szCs w:val="21"/>
              </w:rPr>
            </w:pPr>
          </w:p>
        </w:tc>
      </w:tr>
      <w:tr w14:paraId="3498D4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4D13454">
            <w:pPr>
              <w:spacing w:after="60"/>
              <w:jc w:val="center"/>
              <w:rPr>
                <w:rFonts w:ascii="宋体" w:hAnsi="宋体"/>
                <w:szCs w:val="21"/>
              </w:rPr>
            </w:pPr>
            <w:r>
              <w:rPr>
                <w:rFonts w:hint="eastAsia" w:ascii="宋体" w:hAnsi="宋体"/>
                <w:szCs w:val="21"/>
              </w:rPr>
              <w:t>7</w:t>
            </w:r>
          </w:p>
        </w:tc>
        <w:tc>
          <w:tcPr>
            <w:tcW w:w="2559" w:type="dxa"/>
            <w:vAlign w:val="center"/>
          </w:tcPr>
          <w:p w14:paraId="1D4CC98C">
            <w:pPr>
              <w:spacing w:after="60"/>
              <w:jc w:val="center"/>
              <w:rPr>
                <w:rFonts w:ascii="宋体" w:hAnsi="宋体"/>
                <w:szCs w:val="21"/>
              </w:rPr>
            </w:pPr>
            <w:r>
              <w:rPr>
                <w:rFonts w:hint="eastAsia" w:ascii="宋体" w:hAnsi="宋体"/>
                <w:szCs w:val="21"/>
              </w:rPr>
              <w:t>联系方式</w:t>
            </w:r>
          </w:p>
        </w:tc>
        <w:tc>
          <w:tcPr>
            <w:tcW w:w="4432" w:type="dxa"/>
            <w:vAlign w:val="center"/>
          </w:tcPr>
          <w:p w14:paraId="38D8E237">
            <w:pPr>
              <w:spacing w:after="60"/>
              <w:rPr>
                <w:rFonts w:ascii="宋体" w:hAnsi="宋体"/>
                <w:szCs w:val="21"/>
              </w:rPr>
            </w:pPr>
          </w:p>
        </w:tc>
        <w:tc>
          <w:tcPr>
            <w:tcW w:w="1411" w:type="dxa"/>
            <w:vAlign w:val="center"/>
          </w:tcPr>
          <w:p w14:paraId="5FF42BE0">
            <w:pPr>
              <w:spacing w:after="60"/>
              <w:jc w:val="center"/>
              <w:rPr>
                <w:rFonts w:ascii="宋体" w:hAnsi="宋体"/>
                <w:szCs w:val="21"/>
              </w:rPr>
            </w:pPr>
          </w:p>
        </w:tc>
      </w:tr>
      <w:tr w14:paraId="2ECB80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F9D07BF">
            <w:pPr>
              <w:spacing w:after="60"/>
              <w:jc w:val="center"/>
              <w:rPr>
                <w:rFonts w:ascii="宋体" w:hAnsi="宋体"/>
                <w:b/>
                <w:szCs w:val="21"/>
              </w:rPr>
            </w:pPr>
            <w:r>
              <w:rPr>
                <w:rFonts w:hint="eastAsia" w:ascii="宋体" w:hAnsi="宋体"/>
                <w:b/>
                <w:szCs w:val="21"/>
              </w:rPr>
              <w:t>二</w:t>
            </w:r>
          </w:p>
        </w:tc>
        <w:tc>
          <w:tcPr>
            <w:tcW w:w="2559" w:type="dxa"/>
            <w:vAlign w:val="center"/>
          </w:tcPr>
          <w:p w14:paraId="70FF773B">
            <w:pPr>
              <w:spacing w:after="60"/>
              <w:jc w:val="left"/>
              <w:rPr>
                <w:rFonts w:ascii="宋体" w:hAnsi="宋体"/>
                <w:b/>
                <w:szCs w:val="21"/>
              </w:rPr>
            </w:pPr>
            <w:r>
              <w:rPr>
                <w:rFonts w:hint="eastAsia" w:ascii="宋体" w:hAnsi="宋体"/>
                <w:b/>
                <w:szCs w:val="21"/>
              </w:rPr>
              <w:t>其他材料</w:t>
            </w:r>
          </w:p>
        </w:tc>
        <w:tc>
          <w:tcPr>
            <w:tcW w:w="4432" w:type="dxa"/>
            <w:vAlign w:val="center"/>
          </w:tcPr>
          <w:p w14:paraId="2671CD5A">
            <w:pPr>
              <w:spacing w:after="60"/>
              <w:rPr>
                <w:rFonts w:ascii="宋体" w:hAnsi="宋体"/>
                <w:szCs w:val="21"/>
              </w:rPr>
            </w:pPr>
          </w:p>
        </w:tc>
        <w:tc>
          <w:tcPr>
            <w:tcW w:w="1411" w:type="dxa"/>
            <w:vAlign w:val="center"/>
          </w:tcPr>
          <w:p w14:paraId="08E3F67B">
            <w:pPr>
              <w:spacing w:after="60"/>
              <w:jc w:val="center"/>
              <w:rPr>
                <w:rFonts w:ascii="宋体" w:hAnsi="宋体"/>
                <w:szCs w:val="21"/>
              </w:rPr>
            </w:pPr>
          </w:p>
        </w:tc>
      </w:tr>
    </w:tbl>
    <w:p w14:paraId="6EA2F75C">
      <w:pPr>
        <w:spacing w:line="360" w:lineRule="exact"/>
        <w:rPr>
          <w:rFonts w:ascii="Calibri" w:hAnsi="Calibri"/>
          <w:bCs/>
          <w:szCs w:val="21"/>
        </w:rPr>
      </w:pPr>
      <w:r>
        <w:rPr>
          <w:rFonts w:hint="eastAsia" w:ascii="Calibri" w:hAnsi="Calibri"/>
          <w:bCs/>
          <w:szCs w:val="21"/>
        </w:rPr>
        <w:t>注：供应商应填写上述表格内容，并可根据自身情况自行对表格内容进行补充和完善。</w:t>
      </w:r>
    </w:p>
    <w:p w14:paraId="513A2947">
      <w:pPr>
        <w:ind w:left="632" w:hanging="632" w:hangingChars="300"/>
        <w:rPr>
          <w:rFonts w:ascii="Calibri" w:hAnsi="Calibri"/>
          <w:b/>
          <w:bCs/>
          <w:szCs w:val="22"/>
        </w:rPr>
      </w:pPr>
    </w:p>
    <w:p w14:paraId="69ED7B11">
      <w:pPr>
        <w:ind w:left="632" w:hanging="632" w:hangingChars="300"/>
        <w:rPr>
          <w:rFonts w:ascii="Calibri" w:hAnsi="Calibri"/>
          <w:b/>
          <w:bCs/>
          <w:szCs w:val="22"/>
        </w:rPr>
      </w:pPr>
    </w:p>
    <w:p w14:paraId="2E154CAB">
      <w:pPr>
        <w:ind w:left="632" w:hanging="632" w:hangingChars="300"/>
        <w:rPr>
          <w:rFonts w:ascii="Calibri" w:hAnsi="Calibri"/>
          <w:b/>
          <w:bCs/>
          <w:szCs w:val="22"/>
        </w:rPr>
      </w:pPr>
    </w:p>
    <w:p w14:paraId="657AD30E">
      <w:pPr>
        <w:jc w:val="center"/>
        <w:outlineLvl w:val="3"/>
        <w:rPr>
          <w:rFonts w:ascii="黑体" w:hAnsi="宋体" w:eastAsia="黑体"/>
          <w:bCs/>
          <w:kern w:val="0"/>
          <w:sz w:val="24"/>
          <w:szCs w:val="32"/>
        </w:rPr>
      </w:pPr>
      <w:r>
        <w:rPr>
          <w:rFonts w:hint="eastAsia" w:ascii="黑体" w:hAnsi="宋体" w:eastAsia="黑体"/>
          <w:bCs/>
          <w:kern w:val="0"/>
          <w:sz w:val="24"/>
          <w:szCs w:val="32"/>
        </w:rPr>
        <w:t>四、政府采购扶持政策的证明材料</w:t>
      </w:r>
    </w:p>
    <w:p w14:paraId="18E6732C">
      <w:pPr>
        <w:jc w:val="left"/>
        <w:outlineLvl w:val="3"/>
        <w:rPr>
          <w:rFonts w:ascii="黑体" w:hAnsi="宋体" w:eastAsia="黑体"/>
          <w:bCs/>
          <w:kern w:val="0"/>
          <w:sz w:val="24"/>
          <w:szCs w:val="32"/>
        </w:rPr>
      </w:pPr>
    </w:p>
    <w:p w14:paraId="348A5F08">
      <w:pPr>
        <w:spacing w:after="120" w:afterLines="50" w:line="360" w:lineRule="exact"/>
        <w:jc w:val="center"/>
        <w:rPr>
          <w:rFonts w:ascii="宋体" w:hAnsi="宋体"/>
          <w:b/>
          <w:bCs/>
          <w:sz w:val="28"/>
          <w:szCs w:val="28"/>
        </w:rPr>
      </w:pPr>
      <w:r>
        <w:rPr>
          <w:rFonts w:hint="eastAsia" w:ascii="宋体" w:hAnsi="宋体"/>
          <w:b/>
          <w:bCs/>
          <w:sz w:val="28"/>
          <w:szCs w:val="28"/>
        </w:rPr>
        <w:t>列入政府优先采购清单的投标产品一览表</w:t>
      </w:r>
    </w:p>
    <w:tbl>
      <w:tblPr>
        <w:tblStyle w:val="55"/>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810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F569397">
            <w:pPr>
              <w:jc w:val="center"/>
              <w:rPr>
                <w:b/>
                <w:szCs w:val="21"/>
              </w:rPr>
            </w:pPr>
            <w:r>
              <w:rPr>
                <w:rFonts w:hint="eastAsia"/>
                <w:b/>
                <w:szCs w:val="21"/>
              </w:rPr>
              <w:t>序号</w:t>
            </w:r>
          </w:p>
        </w:tc>
        <w:tc>
          <w:tcPr>
            <w:tcW w:w="1213" w:type="dxa"/>
            <w:vMerge w:val="restart"/>
            <w:vAlign w:val="center"/>
          </w:tcPr>
          <w:p w14:paraId="6085D296">
            <w:pPr>
              <w:jc w:val="center"/>
              <w:rPr>
                <w:b/>
                <w:szCs w:val="21"/>
              </w:rPr>
            </w:pPr>
            <w:r>
              <w:rPr>
                <w:rFonts w:hint="eastAsia"/>
                <w:b/>
                <w:szCs w:val="21"/>
              </w:rPr>
              <w:t>投标产品名称</w:t>
            </w:r>
          </w:p>
        </w:tc>
        <w:tc>
          <w:tcPr>
            <w:tcW w:w="1840" w:type="dxa"/>
            <w:vMerge w:val="restart"/>
            <w:vAlign w:val="center"/>
          </w:tcPr>
          <w:p w14:paraId="38B07792">
            <w:pPr>
              <w:jc w:val="center"/>
              <w:rPr>
                <w:b/>
                <w:szCs w:val="21"/>
              </w:rPr>
            </w:pPr>
            <w:r>
              <w:rPr>
                <w:rFonts w:hint="eastAsia"/>
                <w:b/>
                <w:szCs w:val="21"/>
              </w:rPr>
              <w:t>规格及型号</w:t>
            </w:r>
          </w:p>
        </w:tc>
        <w:tc>
          <w:tcPr>
            <w:tcW w:w="4351" w:type="dxa"/>
            <w:gridSpan w:val="3"/>
            <w:vAlign w:val="center"/>
          </w:tcPr>
          <w:p w14:paraId="2E8448CE">
            <w:pPr>
              <w:jc w:val="center"/>
              <w:rPr>
                <w:b/>
                <w:szCs w:val="21"/>
              </w:rPr>
            </w:pPr>
            <w:r>
              <w:rPr>
                <w:rFonts w:hint="eastAsia"/>
                <w:b/>
                <w:szCs w:val="21"/>
              </w:rPr>
              <w:t>投标产品报价</w:t>
            </w:r>
          </w:p>
        </w:tc>
        <w:tc>
          <w:tcPr>
            <w:tcW w:w="1503" w:type="dxa"/>
            <w:vMerge w:val="restart"/>
            <w:vAlign w:val="center"/>
          </w:tcPr>
          <w:p w14:paraId="3C76D215">
            <w:pPr>
              <w:jc w:val="center"/>
              <w:rPr>
                <w:b/>
                <w:szCs w:val="21"/>
              </w:rPr>
            </w:pPr>
            <w:r>
              <w:rPr>
                <w:rFonts w:hint="eastAsia"/>
                <w:b/>
                <w:szCs w:val="21"/>
              </w:rPr>
              <w:t>属于优先采购清单的类别</w:t>
            </w:r>
          </w:p>
        </w:tc>
        <w:tc>
          <w:tcPr>
            <w:tcW w:w="720" w:type="dxa"/>
            <w:vMerge w:val="restart"/>
            <w:vAlign w:val="center"/>
          </w:tcPr>
          <w:p w14:paraId="6FA6383E">
            <w:pPr>
              <w:jc w:val="center"/>
              <w:rPr>
                <w:b/>
                <w:szCs w:val="21"/>
              </w:rPr>
            </w:pPr>
            <w:r>
              <w:rPr>
                <w:rFonts w:hint="eastAsia"/>
                <w:b/>
                <w:szCs w:val="21"/>
              </w:rPr>
              <w:t>备注</w:t>
            </w:r>
          </w:p>
        </w:tc>
      </w:tr>
      <w:tr w14:paraId="34D2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52065C20">
            <w:pPr>
              <w:rPr>
                <w:szCs w:val="21"/>
              </w:rPr>
            </w:pPr>
          </w:p>
        </w:tc>
        <w:tc>
          <w:tcPr>
            <w:tcW w:w="1213" w:type="dxa"/>
            <w:vMerge w:val="continue"/>
            <w:vAlign w:val="center"/>
          </w:tcPr>
          <w:p w14:paraId="32330140">
            <w:pPr>
              <w:rPr>
                <w:szCs w:val="21"/>
              </w:rPr>
            </w:pPr>
          </w:p>
        </w:tc>
        <w:tc>
          <w:tcPr>
            <w:tcW w:w="1840" w:type="dxa"/>
            <w:vMerge w:val="continue"/>
            <w:vAlign w:val="center"/>
          </w:tcPr>
          <w:p w14:paraId="1AE85EE3">
            <w:pPr>
              <w:rPr>
                <w:szCs w:val="21"/>
              </w:rPr>
            </w:pPr>
          </w:p>
        </w:tc>
        <w:tc>
          <w:tcPr>
            <w:tcW w:w="818" w:type="dxa"/>
            <w:vAlign w:val="center"/>
          </w:tcPr>
          <w:p w14:paraId="35347DAB">
            <w:pPr>
              <w:rPr>
                <w:szCs w:val="21"/>
              </w:rPr>
            </w:pPr>
            <w:r>
              <w:rPr>
                <w:rFonts w:hint="eastAsia"/>
                <w:szCs w:val="21"/>
              </w:rPr>
              <w:t>数量</w:t>
            </w:r>
          </w:p>
        </w:tc>
        <w:tc>
          <w:tcPr>
            <w:tcW w:w="1241" w:type="dxa"/>
            <w:vAlign w:val="center"/>
          </w:tcPr>
          <w:p w14:paraId="6EBD9A7B">
            <w:pPr>
              <w:jc w:val="center"/>
              <w:rPr>
                <w:szCs w:val="21"/>
              </w:rPr>
            </w:pPr>
            <w:r>
              <w:rPr>
                <w:rFonts w:hint="eastAsia"/>
                <w:szCs w:val="21"/>
              </w:rPr>
              <w:t>投标单价（元）</w:t>
            </w:r>
          </w:p>
        </w:tc>
        <w:tc>
          <w:tcPr>
            <w:tcW w:w="2292" w:type="dxa"/>
            <w:vAlign w:val="center"/>
          </w:tcPr>
          <w:p w14:paraId="0D44B9C3">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0CF00364">
            <w:pPr>
              <w:rPr>
                <w:szCs w:val="21"/>
              </w:rPr>
            </w:pPr>
          </w:p>
        </w:tc>
        <w:tc>
          <w:tcPr>
            <w:tcW w:w="720" w:type="dxa"/>
            <w:vMerge w:val="continue"/>
            <w:vAlign w:val="center"/>
          </w:tcPr>
          <w:p w14:paraId="115E1D5B">
            <w:pPr>
              <w:rPr>
                <w:szCs w:val="21"/>
              </w:rPr>
            </w:pPr>
          </w:p>
        </w:tc>
      </w:tr>
      <w:tr w14:paraId="7B57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4D41BD1">
            <w:pPr>
              <w:jc w:val="center"/>
              <w:rPr>
                <w:rFonts w:ascii="宋体" w:hAnsi="宋体"/>
                <w:szCs w:val="21"/>
              </w:rPr>
            </w:pPr>
            <w:r>
              <w:rPr>
                <w:rFonts w:hint="eastAsia" w:ascii="宋体" w:hAnsi="宋体"/>
                <w:szCs w:val="21"/>
              </w:rPr>
              <w:t>1</w:t>
            </w:r>
          </w:p>
        </w:tc>
        <w:tc>
          <w:tcPr>
            <w:tcW w:w="1213" w:type="dxa"/>
            <w:vAlign w:val="center"/>
          </w:tcPr>
          <w:p w14:paraId="6AA68398">
            <w:pPr>
              <w:jc w:val="center"/>
              <w:rPr>
                <w:szCs w:val="21"/>
              </w:rPr>
            </w:pPr>
          </w:p>
        </w:tc>
        <w:tc>
          <w:tcPr>
            <w:tcW w:w="1840" w:type="dxa"/>
            <w:vAlign w:val="center"/>
          </w:tcPr>
          <w:p w14:paraId="5253E8DA">
            <w:pPr>
              <w:jc w:val="center"/>
              <w:rPr>
                <w:szCs w:val="21"/>
              </w:rPr>
            </w:pPr>
          </w:p>
        </w:tc>
        <w:tc>
          <w:tcPr>
            <w:tcW w:w="818" w:type="dxa"/>
            <w:vAlign w:val="center"/>
          </w:tcPr>
          <w:p w14:paraId="33AD7086">
            <w:pPr>
              <w:jc w:val="center"/>
              <w:rPr>
                <w:szCs w:val="21"/>
              </w:rPr>
            </w:pPr>
          </w:p>
        </w:tc>
        <w:tc>
          <w:tcPr>
            <w:tcW w:w="1241" w:type="dxa"/>
            <w:vAlign w:val="center"/>
          </w:tcPr>
          <w:p w14:paraId="6182E59A">
            <w:pPr>
              <w:jc w:val="center"/>
              <w:rPr>
                <w:szCs w:val="21"/>
              </w:rPr>
            </w:pPr>
          </w:p>
        </w:tc>
        <w:tc>
          <w:tcPr>
            <w:tcW w:w="2292" w:type="dxa"/>
            <w:vAlign w:val="center"/>
          </w:tcPr>
          <w:p w14:paraId="43C8CCC7">
            <w:pPr>
              <w:jc w:val="center"/>
              <w:rPr>
                <w:szCs w:val="21"/>
              </w:rPr>
            </w:pPr>
          </w:p>
        </w:tc>
        <w:tc>
          <w:tcPr>
            <w:tcW w:w="1503" w:type="dxa"/>
            <w:vAlign w:val="center"/>
          </w:tcPr>
          <w:p w14:paraId="4C3F8F3B">
            <w:pPr>
              <w:jc w:val="center"/>
              <w:rPr>
                <w:szCs w:val="21"/>
              </w:rPr>
            </w:pPr>
          </w:p>
        </w:tc>
        <w:tc>
          <w:tcPr>
            <w:tcW w:w="720" w:type="dxa"/>
            <w:vAlign w:val="center"/>
          </w:tcPr>
          <w:p w14:paraId="79CB1621">
            <w:pPr>
              <w:jc w:val="center"/>
              <w:rPr>
                <w:szCs w:val="21"/>
              </w:rPr>
            </w:pPr>
          </w:p>
        </w:tc>
      </w:tr>
      <w:tr w14:paraId="0587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C045AF9">
            <w:pPr>
              <w:jc w:val="center"/>
              <w:rPr>
                <w:rFonts w:ascii="宋体" w:hAnsi="宋体"/>
                <w:szCs w:val="21"/>
              </w:rPr>
            </w:pPr>
            <w:r>
              <w:rPr>
                <w:rFonts w:hint="eastAsia" w:ascii="宋体" w:hAnsi="宋体"/>
                <w:szCs w:val="21"/>
              </w:rPr>
              <w:t>2</w:t>
            </w:r>
          </w:p>
        </w:tc>
        <w:tc>
          <w:tcPr>
            <w:tcW w:w="1213" w:type="dxa"/>
            <w:vAlign w:val="center"/>
          </w:tcPr>
          <w:p w14:paraId="0357DDF0">
            <w:pPr>
              <w:jc w:val="center"/>
              <w:rPr>
                <w:szCs w:val="21"/>
              </w:rPr>
            </w:pPr>
          </w:p>
        </w:tc>
        <w:tc>
          <w:tcPr>
            <w:tcW w:w="1840" w:type="dxa"/>
            <w:vAlign w:val="center"/>
          </w:tcPr>
          <w:p w14:paraId="5FA4DFE8">
            <w:pPr>
              <w:jc w:val="center"/>
              <w:rPr>
                <w:szCs w:val="21"/>
              </w:rPr>
            </w:pPr>
          </w:p>
        </w:tc>
        <w:tc>
          <w:tcPr>
            <w:tcW w:w="818" w:type="dxa"/>
            <w:vAlign w:val="center"/>
          </w:tcPr>
          <w:p w14:paraId="264292D0">
            <w:pPr>
              <w:jc w:val="center"/>
              <w:rPr>
                <w:szCs w:val="21"/>
              </w:rPr>
            </w:pPr>
          </w:p>
        </w:tc>
        <w:tc>
          <w:tcPr>
            <w:tcW w:w="1241" w:type="dxa"/>
            <w:vAlign w:val="center"/>
          </w:tcPr>
          <w:p w14:paraId="334B8484">
            <w:pPr>
              <w:jc w:val="center"/>
              <w:rPr>
                <w:szCs w:val="21"/>
              </w:rPr>
            </w:pPr>
          </w:p>
        </w:tc>
        <w:tc>
          <w:tcPr>
            <w:tcW w:w="2292" w:type="dxa"/>
            <w:vAlign w:val="center"/>
          </w:tcPr>
          <w:p w14:paraId="1C918C2E">
            <w:pPr>
              <w:jc w:val="center"/>
              <w:rPr>
                <w:szCs w:val="21"/>
              </w:rPr>
            </w:pPr>
          </w:p>
        </w:tc>
        <w:tc>
          <w:tcPr>
            <w:tcW w:w="1503" w:type="dxa"/>
            <w:vAlign w:val="center"/>
          </w:tcPr>
          <w:p w14:paraId="68A91367">
            <w:pPr>
              <w:jc w:val="center"/>
              <w:rPr>
                <w:szCs w:val="21"/>
              </w:rPr>
            </w:pPr>
          </w:p>
        </w:tc>
        <w:tc>
          <w:tcPr>
            <w:tcW w:w="720" w:type="dxa"/>
            <w:vAlign w:val="center"/>
          </w:tcPr>
          <w:p w14:paraId="1805CCDB">
            <w:pPr>
              <w:jc w:val="center"/>
              <w:rPr>
                <w:szCs w:val="21"/>
              </w:rPr>
            </w:pPr>
          </w:p>
        </w:tc>
      </w:tr>
    </w:tbl>
    <w:p w14:paraId="02577534">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0AE72EFF">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0A40CD3C">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6FD43B64">
      <w:pPr>
        <w:jc w:val="left"/>
        <w:rPr>
          <w:rFonts w:ascii="仿宋_GB2312" w:eastAsia="仿宋_GB2312"/>
          <w:b/>
          <w:color w:val="FF0000"/>
          <w:sz w:val="30"/>
          <w:szCs w:val="30"/>
        </w:rPr>
      </w:pPr>
    </w:p>
    <w:p w14:paraId="6E706ABE">
      <w:pPr>
        <w:jc w:val="left"/>
        <w:rPr>
          <w:rFonts w:ascii="仿宋_GB2312" w:eastAsia="仿宋_GB2312"/>
          <w:b/>
          <w:color w:val="FF0000"/>
          <w:sz w:val="30"/>
          <w:szCs w:val="30"/>
        </w:rPr>
      </w:pPr>
      <w:r>
        <w:rPr>
          <w:rFonts w:ascii="仿宋_GB2312" w:eastAsia="仿宋_GB2312"/>
          <w:b/>
          <w:color w:val="FF0000"/>
          <w:sz w:val="30"/>
          <w:szCs w:val="30"/>
        </w:rPr>
        <w:br w:type="page"/>
      </w:r>
    </w:p>
    <w:p w14:paraId="28E64FFA">
      <w:pPr>
        <w:rPr>
          <w:rFonts w:ascii="仿宋_GB2312" w:eastAsia="仿宋_GB2312"/>
          <w:b/>
          <w:color w:val="FF0000"/>
          <w:sz w:val="30"/>
          <w:szCs w:val="30"/>
        </w:rPr>
      </w:pPr>
      <w:r>
        <w:rPr>
          <w:rFonts w:hint="eastAsia" w:ascii="仿宋_GB2312" w:eastAsia="仿宋_GB2312"/>
          <w:b/>
          <w:color w:val="FF0000"/>
          <w:sz w:val="30"/>
          <w:szCs w:val="30"/>
        </w:rPr>
        <w:t>投标文件附件（信息不公开部分）：</w:t>
      </w:r>
    </w:p>
    <w:p w14:paraId="1B9A9548">
      <w:pPr>
        <w:rPr>
          <w:rFonts w:ascii="仿宋_GB2312" w:eastAsia="仿宋_GB2312"/>
          <w:b/>
          <w:sz w:val="30"/>
          <w:szCs w:val="30"/>
        </w:rPr>
      </w:pPr>
    </w:p>
    <w:p w14:paraId="79FACF00">
      <w:pPr>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五、政府采购违法行为风险知悉确认书</w:t>
      </w:r>
    </w:p>
    <w:p w14:paraId="3EA816F9">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5DCA3186">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3B83A693">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088DBD1E">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104677E3">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686F29CA">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60FF9636">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5A5F9C9E">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5098C398">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306E06B0">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5EB6557F">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2DE8EFB5">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47EB867D">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2BC339E7">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3FFEB212">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53F54B2D">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77A4A4E5">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4B9C9027">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27E8C873">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25785D3A">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6A17774">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2B09B67A">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F6DF4CC">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12A9E1A">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31C6205D">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CECF832">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62175833">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074BFEE6">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3BBA4DCE">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17B7E99">
      <w:pPr>
        <w:spacing w:line="360" w:lineRule="auto"/>
        <w:rPr>
          <w:rFonts w:ascii="宋体" w:hAnsi="宋体"/>
          <w:szCs w:val="21"/>
          <w:u w:val="single"/>
        </w:rPr>
      </w:pPr>
    </w:p>
    <w:p w14:paraId="59FE4398">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22F7E1C4">
      <w:pPr>
        <w:spacing w:line="360" w:lineRule="auto"/>
        <w:ind w:firstLine="420" w:firstLineChars="200"/>
        <w:rPr>
          <w:rFonts w:ascii="宋体" w:hAnsi="宋体"/>
          <w:szCs w:val="21"/>
        </w:rPr>
      </w:pPr>
      <w:r>
        <w:rPr>
          <w:rFonts w:hint="eastAsia" w:ascii="宋体" w:hAnsi="宋体"/>
          <w:szCs w:val="21"/>
        </w:rPr>
        <w:t>知悉人（公章）：</w:t>
      </w:r>
    </w:p>
    <w:p w14:paraId="6F058884">
      <w:pPr>
        <w:spacing w:line="360" w:lineRule="auto"/>
        <w:ind w:firstLine="420" w:firstLineChars="200"/>
        <w:rPr>
          <w:rFonts w:ascii="宋体" w:hAnsi="宋体"/>
          <w:szCs w:val="21"/>
        </w:rPr>
      </w:pPr>
      <w:r>
        <w:rPr>
          <w:rFonts w:hint="eastAsia" w:ascii="宋体" w:hAnsi="宋体"/>
          <w:szCs w:val="21"/>
        </w:rPr>
        <w:t>日期：</w:t>
      </w:r>
    </w:p>
    <w:p w14:paraId="2B676FCA">
      <w:pPr>
        <w:pStyle w:val="3"/>
        <w:keepNext w:val="0"/>
        <w:keepLines w:val="0"/>
        <w:jc w:val="center"/>
        <w:rPr>
          <w:rFonts w:ascii="黑体" w:eastAsia="黑体"/>
          <w:b w:val="0"/>
          <w:kern w:val="0"/>
          <w:sz w:val="24"/>
        </w:rPr>
      </w:pPr>
    </w:p>
    <w:p w14:paraId="700687A3">
      <w:pPr>
        <w:pStyle w:val="3"/>
        <w:keepNext w:val="0"/>
        <w:keepLines w:val="0"/>
        <w:jc w:val="center"/>
        <w:rPr>
          <w:rFonts w:ascii="黑体" w:eastAsia="黑体"/>
          <w:b w:val="0"/>
          <w:kern w:val="0"/>
          <w:sz w:val="24"/>
        </w:rPr>
      </w:pPr>
    </w:p>
    <w:p w14:paraId="033757EE">
      <w:pPr>
        <w:pStyle w:val="3"/>
        <w:keepNext w:val="0"/>
        <w:keepLines w:val="0"/>
        <w:jc w:val="center"/>
        <w:rPr>
          <w:rFonts w:ascii="黑体" w:eastAsia="黑体"/>
          <w:b w:val="0"/>
          <w:kern w:val="0"/>
          <w:sz w:val="24"/>
        </w:rPr>
      </w:pPr>
    </w:p>
    <w:p w14:paraId="0999BED0"/>
    <w:p w14:paraId="0F401BE9">
      <w:pPr>
        <w:rPr>
          <w:rFonts w:ascii="黑体" w:eastAsia="黑体"/>
          <w:kern w:val="0"/>
          <w:sz w:val="24"/>
        </w:rPr>
      </w:pPr>
      <w:r>
        <w:rPr>
          <w:rFonts w:hint="eastAsia" w:ascii="黑体" w:eastAsia="黑体"/>
          <w:kern w:val="0"/>
          <w:sz w:val="24"/>
        </w:rPr>
        <w:br w:type="page"/>
      </w:r>
    </w:p>
    <w:p w14:paraId="3EF88A5A">
      <w:pPr>
        <w:pStyle w:val="3"/>
        <w:keepNext w:val="0"/>
        <w:keepLines w:val="0"/>
        <w:jc w:val="center"/>
        <w:rPr>
          <w:rFonts w:ascii="黑体" w:eastAsia="黑体"/>
          <w:b w:val="0"/>
          <w:kern w:val="0"/>
          <w:sz w:val="24"/>
        </w:rPr>
      </w:pPr>
      <w:r>
        <w:rPr>
          <w:rFonts w:hint="eastAsia" w:ascii="黑体" w:eastAsia="黑体"/>
          <w:b w:val="0"/>
          <w:kern w:val="0"/>
          <w:sz w:val="24"/>
        </w:rPr>
        <w:t>六、法定代表人（负责人）资格证明书</w:t>
      </w:r>
    </w:p>
    <w:p w14:paraId="7EE8E9FC">
      <w:pPr>
        <w:rPr>
          <w:sz w:val="24"/>
        </w:rPr>
      </w:pPr>
    </w:p>
    <w:p w14:paraId="5E70C4ED">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w:t>
      </w:r>
      <w:r>
        <w:rPr>
          <w:rFonts w:hint="eastAsia" w:ascii="黑体" w:eastAsia="黑体"/>
          <w:b/>
          <w:kern w:val="0"/>
          <w:sz w:val="24"/>
        </w:rPr>
        <w:t>（负责人）</w:t>
      </w:r>
      <w:r>
        <w:rPr>
          <w:rFonts w:hint="eastAsia"/>
          <w:szCs w:val="21"/>
        </w:rPr>
        <w:t>，特此证明。</w:t>
      </w:r>
    </w:p>
    <w:p w14:paraId="0764A424">
      <w:pPr>
        <w:spacing w:line="360" w:lineRule="auto"/>
        <w:rPr>
          <w:szCs w:val="21"/>
        </w:rPr>
      </w:pPr>
      <w:r>
        <w:rPr>
          <w:rFonts w:hint="eastAsia"/>
          <w:szCs w:val="21"/>
        </w:rPr>
        <w:t>说明：1、法定代表人为企业事业单位、国家机关、社会团体的主要行政负责人。</w:t>
      </w:r>
    </w:p>
    <w:p w14:paraId="60376B1C">
      <w:pPr>
        <w:rPr>
          <w:szCs w:val="21"/>
        </w:rPr>
      </w:pPr>
      <w:r>
        <w:rPr>
          <w:rFonts w:hint="eastAsia"/>
          <w:szCs w:val="21"/>
        </w:rPr>
        <w:t xml:space="preserve">      2、内容必须填写真实、清楚，涂改无效，不得转让、买卖。</w:t>
      </w:r>
    </w:p>
    <w:p w14:paraId="1D1F4D67">
      <w:pPr>
        <w:spacing w:line="360" w:lineRule="auto"/>
        <w:rPr>
          <w:b/>
          <w:szCs w:val="21"/>
        </w:rPr>
      </w:pPr>
    </w:p>
    <w:p w14:paraId="295EE632">
      <w:pPr>
        <w:spacing w:line="360" w:lineRule="auto"/>
        <w:ind w:firstLine="424" w:firstLineChars="176"/>
        <w:rPr>
          <w:b/>
          <w:sz w:val="24"/>
        </w:rPr>
      </w:pPr>
      <w:r>
        <w:rPr>
          <w:rFonts w:hint="eastAsia"/>
          <w:b/>
          <w:sz w:val="24"/>
        </w:rPr>
        <w:t>附：要求必须提供法定代表人（负责人）身份证扫描件（正反两面）。</w:t>
      </w:r>
    </w:p>
    <w:p w14:paraId="0CDAC2C1">
      <w:pPr>
        <w:pStyle w:val="3"/>
        <w:keepNext w:val="0"/>
        <w:keepLines w:val="0"/>
        <w:jc w:val="center"/>
        <w:rPr>
          <w:rFonts w:ascii="黑体" w:eastAsia="黑体"/>
          <w:b w:val="0"/>
          <w:sz w:val="24"/>
          <w:szCs w:val="24"/>
        </w:rPr>
      </w:pPr>
      <w:r>
        <w:tab/>
      </w:r>
      <w:r>
        <w:rPr>
          <w:rFonts w:hint="eastAsia" w:ascii="黑体" w:eastAsia="黑体"/>
          <w:b w:val="0"/>
          <w:kern w:val="0"/>
          <w:sz w:val="24"/>
          <w:szCs w:val="24"/>
        </w:rPr>
        <w:t>七、投标文件签署授权委托书</w:t>
      </w:r>
    </w:p>
    <w:p w14:paraId="1D716532">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（投标供应商名称）的法定代表人</w:t>
      </w:r>
      <w:r>
        <w:rPr>
          <w:rFonts w:hint="eastAsia" w:ascii="黑体" w:eastAsia="黑体"/>
          <w:b/>
          <w:kern w:val="0"/>
          <w:sz w:val="24"/>
        </w:rPr>
        <w:t>（负责人）</w:t>
      </w:r>
      <w:r>
        <w:rPr>
          <w:rFonts w:hint="eastAsia"/>
          <w:szCs w:val="21"/>
        </w:rPr>
        <w:t>，现授权委托</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5F1500B3">
      <w:pPr>
        <w:pStyle w:val="7"/>
        <w:spacing w:line="360" w:lineRule="auto"/>
        <w:rPr>
          <w:szCs w:val="21"/>
        </w:rPr>
      </w:pPr>
      <w:r>
        <w:rPr>
          <w:rFonts w:hint="eastAsia"/>
          <w:szCs w:val="21"/>
        </w:rPr>
        <w:t>代理人无转委托权，特此委托。</w:t>
      </w:r>
    </w:p>
    <w:p w14:paraId="3EC6F0A2">
      <w:pPr>
        <w:pStyle w:val="7"/>
        <w:spacing w:line="360" w:lineRule="auto"/>
        <w:rPr>
          <w:szCs w:val="21"/>
        </w:rPr>
      </w:pPr>
    </w:p>
    <w:p w14:paraId="6A2D74CF">
      <w:pPr>
        <w:spacing w:line="360" w:lineRule="auto"/>
        <w:ind w:left="540" w:leftChars="257"/>
        <w:rPr>
          <w:szCs w:val="21"/>
          <w:u w:val="single"/>
        </w:rPr>
      </w:pPr>
      <w:r>
        <w:rPr>
          <w:rFonts w:hint="eastAsia"/>
          <w:szCs w:val="21"/>
        </w:rPr>
        <w:t>代理人：</w:t>
      </w:r>
      <w:r>
        <w:rPr>
          <w:rFonts w:hint="eastAsia"/>
          <w:szCs w:val="21"/>
          <w:u w:val="single"/>
        </w:rPr>
        <w:t xml:space="preserve">             </w:t>
      </w:r>
    </w:p>
    <w:p w14:paraId="2513D186">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14:paraId="75DE2B8B">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2ABA5FA9">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694BA1C2">
      <w:pPr>
        <w:spacing w:line="360" w:lineRule="auto"/>
        <w:ind w:left="540" w:leftChars="257"/>
        <w:rPr>
          <w:szCs w:val="21"/>
          <w:u w:val="single"/>
        </w:rPr>
      </w:pPr>
    </w:p>
    <w:p w14:paraId="79841DC1">
      <w:pPr>
        <w:spacing w:line="360" w:lineRule="auto"/>
        <w:ind w:firstLine="424" w:firstLineChars="176"/>
        <w:rPr>
          <w:b/>
          <w:sz w:val="24"/>
        </w:rPr>
      </w:pPr>
      <w:r>
        <w:rPr>
          <w:rFonts w:hint="eastAsia"/>
          <w:b/>
          <w:sz w:val="24"/>
        </w:rPr>
        <w:t>附：要求必须提供代理人身份证扫描件（正反两面）。</w:t>
      </w:r>
    </w:p>
    <w:p w14:paraId="6437B8D9">
      <w:pPr>
        <w:spacing w:line="360" w:lineRule="auto"/>
        <w:rPr>
          <w:b/>
          <w:sz w:val="32"/>
          <w:szCs w:val="32"/>
        </w:rPr>
      </w:pPr>
    </w:p>
    <w:p w14:paraId="19079EE3">
      <w:pPr>
        <w:pStyle w:val="3"/>
        <w:keepNext w:val="0"/>
        <w:keepLines w:val="0"/>
        <w:jc w:val="center"/>
        <w:rPr>
          <w:rFonts w:ascii="黑体" w:eastAsia="黑体"/>
          <w:b w:val="0"/>
          <w:kern w:val="0"/>
          <w:sz w:val="24"/>
          <w:szCs w:val="24"/>
        </w:rPr>
      </w:pPr>
      <w:r>
        <w:rPr>
          <w:rFonts w:hint="eastAsia" w:ascii="黑体" w:eastAsia="黑体"/>
          <w:b w:val="0"/>
          <w:kern w:val="0"/>
          <w:sz w:val="24"/>
          <w:szCs w:val="24"/>
        </w:rPr>
        <w:t>八、实质性条款响应情况表</w:t>
      </w:r>
    </w:p>
    <w:tbl>
      <w:tblPr>
        <w:tblStyle w:val="5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582"/>
        <w:gridCol w:w="1326"/>
      </w:tblGrid>
      <w:tr w14:paraId="5D43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95265FB">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6582" w:type="dxa"/>
          </w:tcPr>
          <w:p w14:paraId="0B73FE1B">
            <w:pPr>
              <w:adjustRightInd w:val="0"/>
              <w:snapToGrid w:val="0"/>
              <w:spacing w:line="360" w:lineRule="auto"/>
              <w:jc w:val="center"/>
              <w:rPr>
                <w:rFonts w:ascii="宋体" w:hAnsi="宋体"/>
                <w:kern w:val="0"/>
                <w:szCs w:val="21"/>
              </w:rPr>
            </w:pPr>
            <w:r>
              <w:rPr>
                <w:rFonts w:hint="eastAsia" w:ascii="宋体" w:hAnsi="宋体"/>
                <w:kern w:val="0"/>
                <w:szCs w:val="21"/>
              </w:rPr>
              <w:t>采购人要求内容</w:t>
            </w:r>
          </w:p>
        </w:tc>
        <w:tc>
          <w:tcPr>
            <w:tcW w:w="1326" w:type="dxa"/>
          </w:tcPr>
          <w:p w14:paraId="0BE6EC4D">
            <w:pPr>
              <w:adjustRightInd w:val="0"/>
              <w:snapToGrid w:val="0"/>
              <w:spacing w:line="360" w:lineRule="auto"/>
              <w:jc w:val="center"/>
              <w:rPr>
                <w:rFonts w:ascii="宋体" w:hAnsi="宋体"/>
                <w:kern w:val="0"/>
                <w:szCs w:val="21"/>
              </w:rPr>
            </w:pPr>
            <w:r>
              <w:rPr>
                <w:rFonts w:hint="eastAsia" w:ascii="宋体" w:hAnsi="宋体"/>
                <w:kern w:val="0"/>
                <w:szCs w:val="21"/>
              </w:rPr>
              <w:t>投标人响应情况</w:t>
            </w:r>
          </w:p>
        </w:tc>
      </w:tr>
      <w:tr w14:paraId="03E3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9BD6390">
            <w:pPr>
              <w:adjustRightInd w:val="0"/>
              <w:snapToGrid w:val="0"/>
              <w:spacing w:line="360" w:lineRule="auto"/>
              <w:rPr>
                <w:rFonts w:ascii="宋体" w:hAnsi="宋体"/>
                <w:kern w:val="0"/>
                <w:szCs w:val="21"/>
              </w:rPr>
            </w:pPr>
            <w:r>
              <w:rPr>
                <w:rFonts w:hint="eastAsia" w:ascii="宋体" w:hAnsi="宋体"/>
                <w:kern w:val="0"/>
                <w:szCs w:val="21"/>
              </w:rPr>
              <w:t>1</w:t>
            </w:r>
          </w:p>
        </w:tc>
        <w:tc>
          <w:tcPr>
            <w:tcW w:w="6582" w:type="dxa"/>
            <w:vAlign w:val="center"/>
          </w:tcPr>
          <w:p w14:paraId="1BAD107A">
            <w:pPr>
              <w:adjustRightInd w:val="0"/>
              <w:snapToGrid w:val="0"/>
              <w:spacing w:line="360" w:lineRule="auto"/>
              <w:jc w:val="both"/>
              <w:rPr>
                <w:rFonts w:hAnsi="宋体"/>
                <w:kern w:val="0"/>
                <w:szCs w:val="21"/>
              </w:rPr>
            </w:pPr>
            <w:r>
              <w:rPr>
                <w:rFonts w:hint="eastAsia" w:ascii="宋体" w:hAnsi="宋体" w:eastAsia="宋体" w:cs="宋体"/>
                <w:sz w:val="21"/>
                <w:szCs w:val="21"/>
              </w:rPr>
              <w:t>项目工期要求: 合同签订后</w:t>
            </w:r>
            <w:r>
              <w:rPr>
                <w:rFonts w:hint="eastAsia" w:ascii="宋体" w:hAnsi="宋体" w:eastAsia="宋体" w:cs="宋体"/>
                <w:sz w:val="21"/>
                <w:szCs w:val="21"/>
                <w:lang w:val="en-US" w:eastAsia="zh-CN"/>
              </w:rPr>
              <w:t>90</w:t>
            </w:r>
            <w:r>
              <w:rPr>
                <w:rFonts w:hint="eastAsia" w:ascii="宋体" w:hAnsi="宋体" w:eastAsia="宋体" w:cs="宋体"/>
                <w:sz w:val="21"/>
                <w:szCs w:val="21"/>
              </w:rPr>
              <w:t>个日历天内。</w:t>
            </w:r>
          </w:p>
        </w:tc>
        <w:tc>
          <w:tcPr>
            <w:tcW w:w="1326" w:type="dxa"/>
          </w:tcPr>
          <w:p w14:paraId="577F7DA3">
            <w:pPr>
              <w:adjustRightInd w:val="0"/>
              <w:snapToGrid w:val="0"/>
              <w:spacing w:line="360" w:lineRule="auto"/>
              <w:rPr>
                <w:rFonts w:ascii="宋体" w:hAnsi="宋体"/>
                <w:kern w:val="0"/>
                <w:szCs w:val="21"/>
              </w:rPr>
            </w:pPr>
          </w:p>
        </w:tc>
      </w:tr>
      <w:tr w14:paraId="2C37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5722165">
            <w:pPr>
              <w:adjustRightInd w:val="0"/>
              <w:snapToGrid w:val="0"/>
              <w:spacing w:line="360" w:lineRule="auto"/>
              <w:rPr>
                <w:rFonts w:ascii="宋体" w:hAnsi="宋体"/>
                <w:kern w:val="0"/>
                <w:szCs w:val="21"/>
              </w:rPr>
            </w:pPr>
            <w:r>
              <w:rPr>
                <w:rFonts w:hint="eastAsia" w:ascii="宋体" w:hAnsi="宋体"/>
                <w:kern w:val="0"/>
                <w:szCs w:val="21"/>
              </w:rPr>
              <w:t>2</w:t>
            </w:r>
          </w:p>
        </w:tc>
        <w:tc>
          <w:tcPr>
            <w:tcW w:w="6582" w:type="dxa"/>
            <w:vAlign w:val="center"/>
          </w:tcPr>
          <w:p w14:paraId="43FA9311">
            <w:pPr>
              <w:spacing w:line="400" w:lineRule="exact"/>
              <w:ind w:right="-145" w:rightChars="-69"/>
              <w:jc w:val="both"/>
              <w:rPr>
                <w:rFonts w:hAnsi="宋体"/>
                <w:kern w:val="0"/>
                <w:szCs w:val="21"/>
              </w:rPr>
            </w:pPr>
            <w:r>
              <w:rPr>
                <w:rFonts w:hint="eastAsia" w:ascii="宋体" w:hAnsi="宋体" w:eastAsia="宋体" w:cs="宋体"/>
                <w:bCs/>
                <w:sz w:val="21"/>
                <w:szCs w:val="21"/>
              </w:rPr>
              <w:t>投标报价包含不可竞争费用：施工单位现场安全文明施工措施费：27,117.26元；投标人报价应包含此部分费用且不可变动，否则视为投标无效。</w:t>
            </w:r>
          </w:p>
        </w:tc>
        <w:tc>
          <w:tcPr>
            <w:tcW w:w="1326" w:type="dxa"/>
          </w:tcPr>
          <w:p w14:paraId="318E5C76">
            <w:pPr>
              <w:adjustRightInd w:val="0"/>
              <w:snapToGrid w:val="0"/>
              <w:spacing w:line="360" w:lineRule="auto"/>
              <w:rPr>
                <w:rFonts w:ascii="宋体" w:hAnsi="宋体"/>
                <w:kern w:val="0"/>
                <w:szCs w:val="21"/>
              </w:rPr>
            </w:pPr>
          </w:p>
        </w:tc>
      </w:tr>
      <w:tr w14:paraId="4B31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C6AA275">
            <w:pPr>
              <w:adjustRightInd w:val="0"/>
              <w:snapToGrid w:val="0"/>
              <w:spacing w:line="360" w:lineRule="auto"/>
              <w:rPr>
                <w:rFonts w:ascii="宋体" w:hAnsi="宋体"/>
                <w:kern w:val="0"/>
                <w:szCs w:val="21"/>
              </w:rPr>
            </w:pPr>
            <w:r>
              <w:rPr>
                <w:rFonts w:hint="eastAsia" w:ascii="宋体" w:hAnsi="宋体"/>
                <w:kern w:val="0"/>
                <w:szCs w:val="21"/>
              </w:rPr>
              <w:t>3</w:t>
            </w:r>
          </w:p>
        </w:tc>
        <w:tc>
          <w:tcPr>
            <w:tcW w:w="6582" w:type="dxa"/>
            <w:vAlign w:val="center"/>
          </w:tcPr>
          <w:p w14:paraId="3708D55B">
            <w:pPr>
              <w:spacing w:line="400" w:lineRule="exact"/>
              <w:ind w:right="-145" w:rightChars="-69"/>
              <w:jc w:val="both"/>
              <w:rPr>
                <w:rFonts w:ascii="宋体" w:hAnsi="宋体"/>
                <w:kern w:val="0"/>
                <w:szCs w:val="21"/>
              </w:rPr>
            </w:pPr>
            <w:r>
              <w:rPr>
                <w:rFonts w:hint="eastAsia" w:ascii="宋体" w:hAnsi="宋体" w:eastAsia="宋体" w:cs="宋体"/>
                <w:bCs/>
                <w:sz w:val="21"/>
                <w:szCs w:val="21"/>
              </w:rPr>
              <w:t>本项目预算金额为：</w:t>
            </w:r>
            <w:r>
              <w:rPr>
                <w:rFonts w:hint="eastAsia" w:ascii="宋体" w:hAnsi="宋体" w:cs="宋体"/>
                <w:bCs/>
                <w:color w:val="auto"/>
                <w:sz w:val="21"/>
                <w:szCs w:val="21"/>
                <w:highlight w:val="none"/>
                <w:lang w:eastAsia="zh-CN"/>
              </w:rPr>
              <w:t>1,450,000.00</w:t>
            </w:r>
            <w:r>
              <w:rPr>
                <w:rFonts w:hint="eastAsia" w:ascii="宋体" w:hAnsi="宋体" w:eastAsia="宋体" w:cs="宋体"/>
                <w:bCs/>
                <w:sz w:val="21"/>
                <w:szCs w:val="21"/>
              </w:rPr>
              <w:t>元。投标人报价不允许超过项目预算金额，否则视为无效报价。</w:t>
            </w:r>
          </w:p>
        </w:tc>
        <w:tc>
          <w:tcPr>
            <w:tcW w:w="1326" w:type="dxa"/>
          </w:tcPr>
          <w:p w14:paraId="0393BD8D">
            <w:pPr>
              <w:adjustRightInd w:val="0"/>
              <w:snapToGrid w:val="0"/>
              <w:spacing w:line="360" w:lineRule="auto"/>
              <w:rPr>
                <w:rFonts w:ascii="宋体" w:hAnsi="宋体"/>
                <w:kern w:val="0"/>
                <w:szCs w:val="21"/>
              </w:rPr>
            </w:pPr>
          </w:p>
        </w:tc>
      </w:tr>
      <w:tr w14:paraId="0BE2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5BAFAE0">
            <w:pPr>
              <w:adjustRightInd w:val="0"/>
              <w:snapToGrid w:val="0"/>
              <w:spacing w:line="360" w:lineRule="auto"/>
              <w:rPr>
                <w:rFonts w:ascii="宋体" w:hAnsi="宋体"/>
                <w:kern w:val="0"/>
                <w:szCs w:val="21"/>
              </w:rPr>
            </w:pPr>
            <w:r>
              <w:rPr>
                <w:rFonts w:hint="eastAsia" w:ascii="宋体" w:hAnsi="宋体"/>
                <w:kern w:val="0"/>
                <w:szCs w:val="21"/>
              </w:rPr>
              <w:t>4</w:t>
            </w:r>
          </w:p>
        </w:tc>
        <w:tc>
          <w:tcPr>
            <w:tcW w:w="6582" w:type="dxa"/>
            <w:vAlign w:val="center"/>
          </w:tcPr>
          <w:p w14:paraId="28AA84BF">
            <w:pPr>
              <w:spacing w:line="400" w:lineRule="exact"/>
              <w:ind w:right="-145" w:rightChars="-69"/>
              <w:jc w:val="both"/>
              <w:rPr>
                <w:rFonts w:ascii="宋体" w:hAnsi="宋体"/>
                <w:kern w:val="0"/>
                <w:szCs w:val="21"/>
              </w:rPr>
            </w:pPr>
            <w:r>
              <w:rPr>
                <w:rFonts w:hint="eastAsia" w:ascii="宋体" w:hAnsi="宋体" w:eastAsia="宋体" w:cs="宋体"/>
                <w:color w:val="auto"/>
                <w:kern w:val="0"/>
                <w:sz w:val="21"/>
                <w:szCs w:val="21"/>
                <w:highlight w:val="none"/>
              </w:rPr>
              <w:t>本项目防水保修期为5年，装修保修期为2年，其他保修期为3年（含提供的所有设备），免费保修期内中标人提供免费上门质保服务，时间自通过采购人及使用单位验收并移交完整竣工资料之日起计算</w:t>
            </w:r>
            <w:r>
              <w:rPr>
                <w:rFonts w:hint="eastAsia" w:ascii="宋体" w:hAnsi="宋体" w:eastAsia="宋体" w:cs="宋体"/>
                <w:color w:val="auto"/>
                <w:kern w:val="0"/>
                <w:sz w:val="21"/>
                <w:szCs w:val="21"/>
                <w:highlight w:val="none"/>
                <w:lang w:eastAsia="zh-CN"/>
              </w:rPr>
              <w:t>。</w:t>
            </w:r>
          </w:p>
        </w:tc>
        <w:tc>
          <w:tcPr>
            <w:tcW w:w="1326" w:type="dxa"/>
          </w:tcPr>
          <w:p w14:paraId="5BC76461">
            <w:pPr>
              <w:adjustRightInd w:val="0"/>
              <w:snapToGrid w:val="0"/>
              <w:spacing w:line="360" w:lineRule="auto"/>
              <w:rPr>
                <w:rFonts w:ascii="宋体" w:hAnsi="宋体"/>
                <w:kern w:val="0"/>
                <w:szCs w:val="21"/>
              </w:rPr>
            </w:pPr>
          </w:p>
        </w:tc>
      </w:tr>
      <w:tr w14:paraId="55A7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BA3CCAA">
            <w:pPr>
              <w:adjustRightInd w:val="0"/>
              <w:snapToGrid w:val="0"/>
              <w:spacing w:line="360" w:lineRule="auto"/>
              <w:rPr>
                <w:rFonts w:ascii="宋体" w:hAnsi="宋体"/>
                <w:kern w:val="0"/>
                <w:szCs w:val="21"/>
              </w:rPr>
            </w:pPr>
            <w:r>
              <w:rPr>
                <w:rFonts w:hint="eastAsia" w:ascii="宋体" w:hAnsi="宋体"/>
                <w:kern w:val="0"/>
                <w:szCs w:val="21"/>
              </w:rPr>
              <w:t>5</w:t>
            </w:r>
          </w:p>
        </w:tc>
        <w:tc>
          <w:tcPr>
            <w:tcW w:w="6582" w:type="dxa"/>
            <w:vAlign w:val="center"/>
          </w:tcPr>
          <w:p w14:paraId="284EB639">
            <w:pPr>
              <w:spacing w:line="400" w:lineRule="exact"/>
              <w:ind w:right="-145" w:rightChars="-69"/>
              <w:jc w:val="both"/>
              <w:rPr>
                <w:rFonts w:ascii="宋体" w:hAnsi="宋体"/>
                <w:kern w:val="0"/>
                <w:szCs w:val="21"/>
              </w:rPr>
            </w:pPr>
            <w:r>
              <w:rPr>
                <w:rFonts w:hint="eastAsia" w:ascii="宋体" w:hAnsi="宋体" w:eastAsia="宋体" w:cs="宋体"/>
                <w:color w:val="auto"/>
                <w:kern w:val="0"/>
                <w:sz w:val="21"/>
                <w:szCs w:val="21"/>
                <w:highlight w:val="none"/>
              </w:rPr>
              <w:t>货物运输及项目实施过程中所产生的一切风险，包括但不限于项目工作人员的人身安全事故、意外伤害事故、施工过程中致采购人、中标人及第三方人员的人身财产损害等，皆由中标人承担，皆由中标人负责解决。若由此导致采购人承担了相关法律责任或经济赔偿责任，中标人应给予采购人全部的补偿，并承担采购人为解决此类纠纷过程中所产生的实际费用</w:t>
            </w:r>
            <w:r>
              <w:rPr>
                <w:rFonts w:hint="eastAsia" w:ascii="宋体" w:hAnsi="宋体" w:eastAsia="宋体" w:cs="宋体"/>
                <w:color w:val="auto"/>
                <w:kern w:val="0"/>
                <w:sz w:val="21"/>
                <w:szCs w:val="21"/>
                <w:highlight w:val="none"/>
                <w:lang w:eastAsia="zh-CN"/>
              </w:rPr>
              <w:t>。</w:t>
            </w:r>
          </w:p>
        </w:tc>
        <w:tc>
          <w:tcPr>
            <w:tcW w:w="1326" w:type="dxa"/>
          </w:tcPr>
          <w:p w14:paraId="4F28F523">
            <w:pPr>
              <w:adjustRightInd w:val="0"/>
              <w:snapToGrid w:val="0"/>
              <w:spacing w:line="360" w:lineRule="auto"/>
              <w:rPr>
                <w:rFonts w:ascii="宋体" w:hAnsi="宋体"/>
                <w:kern w:val="0"/>
                <w:szCs w:val="21"/>
              </w:rPr>
            </w:pPr>
          </w:p>
        </w:tc>
      </w:tr>
      <w:tr w14:paraId="10EF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38C1ECE">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6</w:t>
            </w:r>
          </w:p>
        </w:tc>
        <w:tc>
          <w:tcPr>
            <w:tcW w:w="6582" w:type="dxa"/>
            <w:vAlign w:val="center"/>
          </w:tcPr>
          <w:p w14:paraId="406FC484">
            <w:pPr>
              <w:spacing w:line="400" w:lineRule="exact"/>
              <w:ind w:right="-145" w:rightChars="-69"/>
              <w:jc w:val="both"/>
              <w:rPr>
                <w:rFonts w:ascii="宋体" w:hAnsi="宋体"/>
                <w:kern w:val="0"/>
                <w:szCs w:val="21"/>
              </w:rPr>
            </w:pPr>
            <w:r>
              <w:rPr>
                <w:rFonts w:hint="eastAsia" w:ascii="宋体" w:hAnsi="宋体" w:eastAsia="宋体" w:cs="宋体"/>
                <w:color w:val="auto"/>
                <w:kern w:val="0"/>
                <w:sz w:val="21"/>
                <w:szCs w:val="21"/>
                <w:highlight w:val="none"/>
                <w:lang w:val="en-US" w:eastAsia="zh-CN"/>
              </w:rPr>
              <w:t>中标人需提供3年7*24小时的现场服务响应，</w:t>
            </w:r>
            <w:r>
              <w:rPr>
                <w:rFonts w:hint="eastAsia" w:ascii="宋体" w:hAnsi="宋体" w:eastAsia="宋体" w:cs="宋体"/>
                <w:color w:val="auto"/>
                <w:kern w:val="0"/>
                <w:sz w:val="21"/>
                <w:szCs w:val="21"/>
                <w:highlight w:val="none"/>
                <w:lang w:eastAsia="zh-CN"/>
              </w:rPr>
              <w:t>时间自通过采购人及使用单位验收并移交完整竣工资料之日起计算。</w:t>
            </w:r>
          </w:p>
        </w:tc>
        <w:tc>
          <w:tcPr>
            <w:tcW w:w="1326" w:type="dxa"/>
          </w:tcPr>
          <w:p w14:paraId="7320958C">
            <w:pPr>
              <w:adjustRightInd w:val="0"/>
              <w:snapToGrid w:val="0"/>
              <w:spacing w:line="360" w:lineRule="auto"/>
              <w:rPr>
                <w:rFonts w:ascii="宋体" w:hAnsi="宋体"/>
                <w:kern w:val="0"/>
                <w:szCs w:val="21"/>
              </w:rPr>
            </w:pPr>
          </w:p>
        </w:tc>
      </w:tr>
      <w:tr w14:paraId="63A3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243573A">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7</w:t>
            </w:r>
          </w:p>
        </w:tc>
        <w:tc>
          <w:tcPr>
            <w:tcW w:w="6582" w:type="dxa"/>
            <w:vAlign w:val="center"/>
          </w:tcPr>
          <w:p w14:paraId="6F91D281">
            <w:pPr>
              <w:spacing w:line="360" w:lineRule="auto"/>
              <w:jc w:val="both"/>
              <w:rPr>
                <w:rFonts w:ascii="宋体" w:hAnsi="宋体"/>
                <w:kern w:val="0"/>
                <w:szCs w:val="21"/>
              </w:rPr>
            </w:pPr>
            <w:r>
              <w:rPr>
                <w:rFonts w:hint="eastAsia" w:ascii="宋体" w:hAnsi="宋体"/>
                <w:kern w:val="0"/>
                <w:szCs w:val="21"/>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p>
        </w:tc>
        <w:tc>
          <w:tcPr>
            <w:tcW w:w="1326" w:type="dxa"/>
          </w:tcPr>
          <w:p w14:paraId="636E51A7">
            <w:pPr>
              <w:adjustRightInd w:val="0"/>
              <w:snapToGrid w:val="0"/>
              <w:spacing w:line="360" w:lineRule="auto"/>
              <w:rPr>
                <w:rFonts w:ascii="宋体" w:hAnsi="宋体"/>
                <w:kern w:val="0"/>
                <w:szCs w:val="21"/>
              </w:rPr>
            </w:pPr>
          </w:p>
        </w:tc>
      </w:tr>
    </w:tbl>
    <w:p w14:paraId="3E594907">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w:t>
      </w:r>
      <w:r>
        <w:rPr>
          <w:rFonts w:hint="eastAsia" w:ascii="宋体" w:hAnsi="宋体"/>
          <w:kern w:val="0"/>
          <w:szCs w:val="21"/>
        </w:rPr>
        <w:t>采购人要求内容</w:t>
      </w:r>
      <w:r>
        <w:rPr>
          <w:rFonts w:hint="eastAsia" w:asciiTheme="minorEastAsia" w:hAnsiTheme="minorEastAsia" w:eastAsiaTheme="minorEastAsia"/>
          <w:bCs/>
          <w:kern w:val="0"/>
          <w:szCs w:val="21"/>
        </w:rPr>
        <w:t>”为</w:t>
      </w:r>
      <w:r>
        <w:rPr>
          <w:rFonts w:hint="eastAsia" w:asciiTheme="minorEastAsia" w:hAnsiTheme="minorEastAsia" w:eastAsiaTheme="minorEastAsia"/>
          <w:b/>
          <w:bCs/>
          <w:kern w:val="0"/>
          <w:szCs w:val="21"/>
          <w:highlight w:val="yellow"/>
        </w:rPr>
        <w:t>“第一册  专用条款/第二章  招标项目需求”</w:t>
      </w:r>
      <w:r>
        <w:rPr>
          <w:rFonts w:hint="eastAsia" w:asciiTheme="minorEastAsia" w:hAnsiTheme="minorEastAsia" w:eastAsiaTheme="minorEastAsia"/>
          <w:bCs/>
          <w:kern w:val="0"/>
          <w:szCs w:val="21"/>
        </w:rPr>
        <w:t>中的不可负偏离的实质性条款，即“实质性条款”。</w:t>
      </w:r>
    </w:p>
    <w:p w14:paraId="1D6958C3">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2.“投标人响应情况”一栏应如实填写“响应”或“不响应”。</w:t>
      </w:r>
    </w:p>
    <w:p w14:paraId="6E1E6A0B">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3.“实质性条款响应情况表”与投标文件其它内容冲突的，以“实质性条款响应情况表”为准。</w:t>
      </w:r>
    </w:p>
    <w:p w14:paraId="02C5AC4A">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w:t>
      </w:r>
      <w:r>
        <w:rPr>
          <w:rFonts w:hint="eastAsia" w:ascii="宋体" w:hAnsi="宋体"/>
          <w:kern w:val="0"/>
          <w:szCs w:val="21"/>
        </w:rPr>
        <w:t>采购人要求内容</w:t>
      </w:r>
      <w:r>
        <w:rPr>
          <w:rFonts w:hint="eastAsia" w:asciiTheme="minorEastAsia" w:hAnsiTheme="minorEastAsia" w:eastAsiaTheme="minorEastAsia"/>
          <w:bCs/>
          <w:kern w:val="0"/>
          <w:szCs w:val="21"/>
        </w:rPr>
        <w:t>”中涉及提供证明材料的，应附在本表后，未提供证明材料或证明材料与响应情况不相符的，按负偏离处理。</w:t>
      </w:r>
    </w:p>
    <w:p w14:paraId="60F6F640">
      <w:pPr>
        <w:pStyle w:val="3"/>
        <w:keepNext w:val="0"/>
        <w:keepLines w:val="0"/>
        <w:jc w:val="center"/>
        <w:rPr>
          <w:rFonts w:ascii="黑体" w:eastAsia="黑体"/>
          <w:b w:val="0"/>
          <w:sz w:val="24"/>
          <w:szCs w:val="24"/>
        </w:rPr>
      </w:pPr>
    </w:p>
    <w:p w14:paraId="4E489B72">
      <w:pPr>
        <w:pStyle w:val="3"/>
        <w:keepNext w:val="0"/>
        <w:keepLines w:val="0"/>
        <w:jc w:val="center"/>
        <w:rPr>
          <w:rFonts w:ascii="黑体" w:eastAsia="黑体"/>
          <w:b w:val="0"/>
          <w:kern w:val="0"/>
          <w:sz w:val="24"/>
        </w:rPr>
      </w:pPr>
      <w:r>
        <w:rPr>
          <w:rFonts w:hint="eastAsia" w:ascii="黑体" w:eastAsia="黑体"/>
          <w:b w:val="0"/>
          <w:sz w:val="24"/>
          <w:szCs w:val="24"/>
        </w:rPr>
        <w:t>九、工程量清单报价（参考）</w:t>
      </w:r>
    </w:p>
    <w:p w14:paraId="28FA46E2">
      <w:pPr>
        <w:pStyle w:val="4"/>
        <w:keepNext w:val="0"/>
        <w:keepLines w:val="0"/>
      </w:pPr>
      <w:r>
        <w:rPr>
          <w:rFonts w:hint="eastAsia"/>
        </w:rPr>
        <w:t>（一）工程项目投标价汇总表</w:t>
      </w:r>
    </w:p>
    <w:tbl>
      <w:tblPr>
        <w:tblStyle w:val="55"/>
        <w:tblW w:w="8379" w:type="dxa"/>
        <w:tblInd w:w="93" w:type="dxa"/>
        <w:tblLayout w:type="fixed"/>
        <w:tblCellMar>
          <w:top w:w="0" w:type="dxa"/>
          <w:left w:w="108" w:type="dxa"/>
          <w:bottom w:w="0" w:type="dxa"/>
          <w:right w:w="108" w:type="dxa"/>
        </w:tblCellMar>
      </w:tblPr>
      <w:tblGrid>
        <w:gridCol w:w="472"/>
        <w:gridCol w:w="3087"/>
        <w:gridCol w:w="992"/>
        <w:gridCol w:w="1134"/>
        <w:gridCol w:w="999"/>
        <w:gridCol w:w="419"/>
        <w:gridCol w:w="1276"/>
      </w:tblGrid>
      <w:tr w14:paraId="1870EFA6">
        <w:tblPrEx>
          <w:tblCellMar>
            <w:top w:w="0" w:type="dxa"/>
            <w:left w:w="108" w:type="dxa"/>
            <w:bottom w:w="0" w:type="dxa"/>
            <w:right w:w="108" w:type="dxa"/>
          </w:tblCellMar>
        </w:tblPrEx>
        <w:trPr>
          <w:trHeight w:val="668" w:hRule="atLeast"/>
        </w:trPr>
        <w:tc>
          <w:tcPr>
            <w:tcW w:w="6684" w:type="dxa"/>
            <w:gridSpan w:val="5"/>
            <w:tcBorders>
              <w:top w:val="nil"/>
              <w:left w:val="nil"/>
              <w:bottom w:val="nil"/>
              <w:right w:val="nil"/>
            </w:tcBorders>
            <w:shd w:val="clear" w:color="auto" w:fill="auto"/>
            <w:vAlign w:val="bottom"/>
          </w:tcPr>
          <w:p w14:paraId="51D437B5">
            <w:pPr>
              <w:jc w:val="left"/>
              <w:rPr>
                <w:rFonts w:ascii="宋体" w:hAnsi="宋体" w:cs="宋体"/>
                <w:kern w:val="0"/>
                <w:sz w:val="20"/>
                <w:szCs w:val="20"/>
              </w:rPr>
            </w:pPr>
            <w:r>
              <w:rPr>
                <w:rFonts w:hint="eastAsia" w:ascii="宋体" w:hAnsi="宋体" w:cs="宋体"/>
                <w:kern w:val="0"/>
                <w:sz w:val="20"/>
                <w:szCs w:val="20"/>
              </w:rPr>
              <w:t xml:space="preserve">工程名称:           </w:t>
            </w:r>
          </w:p>
        </w:tc>
        <w:tc>
          <w:tcPr>
            <w:tcW w:w="1695" w:type="dxa"/>
            <w:gridSpan w:val="2"/>
            <w:tcBorders>
              <w:top w:val="nil"/>
              <w:left w:val="nil"/>
              <w:bottom w:val="nil"/>
              <w:right w:val="nil"/>
            </w:tcBorders>
            <w:shd w:val="clear" w:color="auto" w:fill="auto"/>
            <w:vAlign w:val="bottom"/>
          </w:tcPr>
          <w:p w14:paraId="3E3F9878">
            <w:pPr>
              <w:jc w:val="right"/>
              <w:rPr>
                <w:rFonts w:ascii="宋体" w:hAnsi="宋体" w:cs="宋体"/>
                <w:kern w:val="0"/>
                <w:sz w:val="20"/>
                <w:szCs w:val="20"/>
              </w:rPr>
            </w:pPr>
            <w:r>
              <w:rPr>
                <w:rFonts w:hint="eastAsia" w:ascii="宋体" w:hAnsi="宋体" w:cs="宋体"/>
                <w:kern w:val="0"/>
                <w:sz w:val="20"/>
                <w:szCs w:val="20"/>
              </w:rPr>
              <w:t>第1页共1页</w:t>
            </w:r>
          </w:p>
        </w:tc>
      </w:tr>
      <w:tr w14:paraId="6EA94030">
        <w:tblPrEx>
          <w:tblCellMar>
            <w:top w:w="0" w:type="dxa"/>
            <w:left w:w="108" w:type="dxa"/>
            <w:bottom w:w="0" w:type="dxa"/>
            <w:right w:w="108" w:type="dxa"/>
          </w:tblCellMar>
        </w:tblPrEx>
        <w:trPr>
          <w:trHeight w:val="372" w:hRule="atLeast"/>
        </w:trPr>
        <w:tc>
          <w:tcPr>
            <w:tcW w:w="472"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14:paraId="23A0DB25">
            <w:pPr>
              <w:jc w:val="center"/>
              <w:rPr>
                <w:rFonts w:ascii="宋体" w:hAnsi="宋体" w:cs="宋体"/>
                <w:kern w:val="0"/>
                <w:sz w:val="20"/>
                <w:szCs w:val="20"/>
              </w:rPr>
            </w:pPr>
            <w:r>
              <w:rPr>
                <w:rFonts w:hint="eastAsia" w:ascii="宋体" w:hAnsi="宋体" w:cs="宋体"/>
                <w:kern w:val="0"/>
                <w:sz w:val="20"/>
                <w:szCs w:val="20"/>
              </w:rPr>
              <w:t>序号</w:t>
            </w:r>
          </w:p>
        </w:tc>
        <w:tc>
          <w:tcPr>
            <w:tcW w:w="3087"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7621509F">
            <w:pPr>
              <w:jc w:val="center"/>
              <w:rPr>
                <w:rFonts w:ascii="宋体" w:hAnsi="宋体" w:cs="宋体"/>
                <w:kern w:val="0"/>
                <w:sz w:val="20"/>
                <w:szCs w:val="20"/>
              </w:rPr>
            </w:pPr>
            <w:r>
              <w:rPr>
                <w:rFonts w:hint="eastAsia" w:ascii="宋体" w:hAnsi="宋体" w:cs="宋体"/>
                <w:kern w:val="0"/>
                <w:sz w:val="20"/>
                <w:szCs w:val="20"/>
              </w:rPr>
              <w:t>单项工程名称</w:t>
            </w:r>
          </w:p>
        </w:tc>
        <w:tc>
          <w:tcPr>
            <w:tcW w:w="992"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3F697CA1">
            <w:pPr>
              <w:jc w:val="center"/>
              <w:rPr>
                <w:rFonts w:ascii="宋体" w:hAnsi="宋体" w:cs="宋体"/>
                <w:kern w:val="0"/>
                <w:sz w:val="20"/>
                <w:szCs w:val="20"/>
              </w:rPr>
            </w:pPr>
            <w:r>
              <w:rPr>
                <w:rFonts w:hint="eastAsia" w:ascii="宋体" w:hAnsi="宋体" w:cs="宋体"/>
                <w:kern w:val="0"/>
                <w:sz w:val="20"/>
                <w:szCs w:val="20"/>
              </w:rPr>
              <w:t>金额(元)</w:t>
            </w:r>
          </w:p>
        </w:tc>
        <w:tc>
          <w:tcPr>
            <w:tcW w:w="3828" w:type="dxa"/>
            <w:gridSpan w:val="4"/>
            <w:tcBorders>
              <w:top w:val="single" w:color="auto" w:sz="4" w:space="0"/>
              <w:left w:val="nil"/>
              <w:bottom w:val="single" w:color="000000" w:sz="4" w:space="0"/>
              <w:right w:val="single" w:color="000000" w:sz="4" w:space="0"/>
            </w:tcBorders>
            <w:shd w:val="clear" w:color="000000" w:fill="FFFFFF"/>
            <w:vAlign w:val="center"/>
          </w:tcPr>
          <w:p w14:paraId="3D55D60B">
            <w:pPr>
              <w:jc w:val="center"/>
              <w:rPr>
                <w:rFonts w:ascii="宋体" w:hAnsi="宋体" w:cs="宋体"/>
                <w:kern w:val="0"/>
                <w:sz w:val="20"/>
                <w:szCs w:val="20"/>
              </w:rPr>
            </w:pPr>
            <w:r>
              <w:rPr>
                <w:rFonts w:hint="eastAsia" w:ascii="宋体" w:hAnsi="宋体" w:cs="宋体"/>
                <w:kern w:val="0"/>
                <w:sz w:val="20"/>
                <w:szCs w:val="20"/>
              </w:rPr>
              <w:t>其中</w:t>
            </w:r>
          </w:p>
        </w:tc>
      </w:tr>
      <w:tr w14:paraId="127C5802">
        <w:tblPrEx>
          <w:tblCellMar>
            <w:top w:w="0" w:type="dxa"/>
            <w:left w:w="108" w:type="dxa"/>
            <w:bottom w:w="0" w:type="dxa"/>
            <w:right w:w="108" w:type="dxa"/>
          </w:tblCellMar>
        </w:tblPrEx>
        <w:trPr>
          <w:trHeight w:val="668" w:hRule="atLeast"/>
        </w:trPr>
        <w:tc>
          <w:tcPr>
            <w:tcW w:w="47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86A19BF">
            <w:pPr>
              <w:jc w:val="left"/>
              <w:rPr>
                <w:rFonts w:ascii="宋体" w:hAnsi="宋体" w:cs="宋体"/>
                <w:kern w:val="0"/>
                <w:sz w:val="20"/>
                <w:szCs w:val="20"/>
              </w:rPr>
            </w:pPr>
          </w:p>
        </w:tc>
        <w:tc>
          <w:tcPr>
            <w:tcW w:w="308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4EA4097">
            <w:pPr>
              <w:jc w:val="left"/>
              <w:rPr>
                <w:rFonts w:ascii="宋体" w:hAnsi="宋体" w:cs="宋体"/>
                <w:kern w:val="0"/>
                <w:sz w:val="20"/>
                <w:szCs w:val="20"/>
              </w:rPr>
            </w:pPr>
          </w:p>
        </w:tc>
        <w:tc>
          <w:tcPr>
            <w:tcW w:w="99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C915140">
            <w:pPr>
              <w:jc w:val="left"/>
              <w:rPr>
                <w:rFonts w:ascii="宋体" w:hAnsi="宋体" w:cs="宋体"/>
                <w:kern w:val="0"/>
                <w:sz w:val="20"/>
                <w:szCs w:val="20"/>
              </w:rPr>
            </w:pPr>
          </w:p>
        </w:tc>
        <w:tc>
          <w:tcPr>
            <w:tcW w:w="1134" w:type="dxa"/>
            <w:tcBorders>
              <w:top w:val="nil"/>
              <w:left w:val="nil"/>
              <w:bottom w:val="single" w:color="000000" w:sz="4" w:space="0"/>
              <w:right w:val="single" w:color="000000" w:sz="4" w:space="0"/>
            </w:tcBorders>
            <w:shd w:val="clear" w:color="000000" w:fill="FFFFFF"/>
            <w:vAlign w:val="center"/>
          </w:tcPr>
          <w:p w14:paraId="55EDB5C1">
            <w:pPr>
              <w:jc w:val="center"/>
              <w:rPr>
                <w:rFonts w:ascii="宋体" w:hAnsi="宋体" w:cs="宋体"/>
                <w:kern w:val="0"/>
                <w:sz w:val="20"/>
                <w:szCs w:val="20"/>
              </w:rPr>
            </w:pPr>
            <w:r>
              <w:rPr>
                <w:rFonts w:hint="eastAsia" w:ascii="宋体" w:hAnsi="宋体" w:cs="宋体"/>
                <w:kern w:val="0"/>
                <w:sz w:val="20"/>
                <w:szCs w:val="20"/>
              </w:rPr>
              <w:t>暂估价</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1418" w:type="dxa"/>
            <w:gridSpan w:val="2"/>
            <w:tcBorders>
              <w:top w:val="nil"/>
              <w:left w:val="nil"/>
              <w:bottom w:val="single" w:color="000000" w:sz="4" w:space="0"/>
              <w:right w:val="single" w:color="000000" w:sz="4" w:space="0"/>
            </w:tcBorders>
            <w:shd w:val="clear" w:color="000000" w:fill="FFFFFF"/>
            <w:vAlign w:val="center"/>
          </w:tcPr>
          <w:p w14:paraId="61EE7645">
            <w:pPr>
              <w:jc w:val="center"/>
              <w:rPr>
                <w:rFonts w:ascii="宋体" w:hAnsi="宋体" w:cs="宋体"/>
                <w:kern w:val="0"/>
                <w:sz w:val="20"/>
                <w:szCs w:val="20"/>
              </w:rPr>
            </w:pPr>
            <w:r>
              <w:rPr>
                <w:rFonts w:hint="eastAsia" w:ascii="宋体" w:hAnsi="宋体" w:cs="宋体"/>
                <w:kern w:val="0"/>
                <w:sz w:val="20"/>
                <w:szCs w:val="20"/>
              </w:rPr>
              <w:t>安全文明施工</w:t>
            </w:r>
            <w:r>
              <w:rPr>
                <w:rFonts w:hint="eastAsia" w:ascii="宋体" w:hAnsi="宋体" w:cs="宋体"/>
                <w:kern w:val="0"/>
                <w:sz w:val="20"/>
                <w:szCs w:val="20"/>
              </w:rPr>
              <w:br w:type="textWrapping"/>
            </w:r>
            <w:r>
              <w:rPr>
                <w:rFonts w:hint="eastAsia" w:ascii="宋体" w:hAnsi="宋体" w:cs="宋体"/>
                <w:kern w:val="0"/>
                <w:sz w:val="20"/>
                <w:szCs w:val="20"/>
              </w:rPr>
              <w:t>措施费(元)</w:t>
            </w:r>
          </w:p>
        </w:tc>
        <w:tc>
          <w:tcPr>
            <w:tcW w:w="1276" w:type="dxa"/>
            <w:tcBorders>
              <w:top w:val="nil"/>
              <w:left w:val="nil"/>
              <w:bottom w:val="single" w:color="000000" w:sz="4" w:space="0"/>
              <w:right w:val="single" w:color="auto" w:sz="4" w:space="0"/>
            </w:tcBorders>
            <w:shd w:val="clear" w:color="000000" w:fill="FFFFFF"/>
            <w:vAlign w:val="center"/>
          </w:tcPr>
          <w:p w14:paraId="47A14B39">
            <w:pPr>
              <w:jc w:val="center"/>
              <w:rPr>
                <w:rFonts w:ascii="宋体" w:hAnsi="宋体" w:cs="宋体"/>
                <w:kern w:val="0"/>
                <w:sz w:val="20"/>
                <w:szCs w:val="20"/>
              </w:rPr>
            </w:pPr>
            <w:r>
              <w:rPr>
                <w:rFonts w:hint="eastAsia" w:ascii="宋体" w:hAnsi="宋体" w:cs="宋体"/>
                <w:kern w:val="0"/>
                <w:sz w:val="20"/>
                <w:szCs w:val="20"/>
              </w:rPr>
              <w:t>规费</w:t>
            </w:r>
            <w:r>
              <w:rPr>
                <w:rFonts w:hint="eastAsia" w:ascii="宋体" w:hAnsi="宋体" w:cs="宋体"/>
                <w:kern w:val="0"/>
                <w:sz w:val="20"/>
                <w:szCs w:val="20"/>
              </w:rPr>
              <w:br w:type="textWrapping"/>
            </w:r>
            <w:r>
              <w:rPr>
                <w:rFonts w:hint="eastAsia" w:ascii="宋体" w:hAnsi="宋体" w:cs="宋体"/>
                <w:kern w:val="0"/>
                <w:sz w:val="20"/>
                <w:szCs w:val="20"/>
              </w:rPr>
              <w:t>(元)</w:t>
            </w:r>
          </w:p>
        </w:tc>
      </w:tr>
      <w:tr w14:paraId="0FCA87D0">
        <w:tblPrEx>
          <w:tblCellMar>
            <w:top w:w="0" w:type="dxa"/>
            <w:left w:w="108" w:type="dxa"/>
            <w:bottom w:w="0" w:type="dxa"/>
            <w:right w:w="108" w:type="dxa"/>
          </w:tblCellMar>
        </w:tblPrEx>
        <w:trPr>
          <w:trHeight w:val="668" w:hRule="atLeast"/>
        </w:trPr>
        <w:tc>
          <w:tcPr>
            <w:tcW w:w="472" w:type="dxa"/>
            <w:tcBorders>
              <w:top w:val="nil"/>
              <w:left w:val="single" w:color="auto" w:sz="4" w:space="0"/>
              <w:bottom w:val="single" w:color="auto" w:sz="4" w:space="0"/>
              <w:right w:val="single" w:color="auto" w:sz="4" w:space="0"/>
            </w:tcBorders>
            <w:shd w:val="clear" w:color="000000" w:fill="FFFFFF"/>
            <w:noWrap/>
            <w:vAlign w:val="center"/>
          </w:tcPr>
          <w:p w14:paraId="5CA10317">
            <w:pPr>
              <w:jc w:val="center"/>
              <w:rPr>
                <w:rFonts w:ascii="宋体" w:hAnsi="宋体" w:cs="宋体"/>
                <w:kern w:val="0"/>
                <w:sz w:val="20"/>
                <w:szCs w:val="20"/>
              </w:rPr>
            </w:pPr>
            <w:r>
              <w:rPr>
                <w:rFonts w:hint="eastAsia" w:ascii="宋体" w:hAnsi="宋体" w:cs="宋体"/>
                <w:kern w:val="0"/>
                <w:sz w:val="20"/>
                <w:szCs w:val="20"/>
              </w:rPr>
              <w:t>1</w:t>
            </w:r>
          </w:p>
        </w:tc>
        <w:tc>
          <w:tcPr>
            <w:tcW w:w="3087" w:type="dxa"/>
            <w:tcBorders>
              <w:top w:val="nil"/>
              <w:left w:val="nil"/>
              <w:bottom w:val="single" w:color="auto" w:sz="4" w:space="0"/>
              <w:right w:val="single" w:color="auto" w:sz="4" w:space="0"/>
            </w:tcBorders>
            <w:shd w:val="clear" w:color="000000" w:fill="FFFFFF"/>
            <w:vAlign w:val="center"/>
          </w:tcPr>
          <w:p w14:paraId="7DDF3F19">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000000" w:fill="FFFFFF"/>
            <w:noWrap/>
            <w:vAlign w:val="center"/>
          </w:tcPr>
          <w:p w14:paraId="2322DA1D">
            <w:pPr>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040F0B95">
            <w:pPr>
              <w:jc w:val="right"/>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000000" w:fill="FFFFFF"/>
            <w:noWrap/>
            <w:vAlign w:val="center"/>
          </w:tcPr>
          <w:p w14:paraId="24760171">
            <w:pPr>
              <w:jc w:val="right"/>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000000" w:fill="FFFFFF"/>
            <w:noWrap/>
            <w:vAlign w:val="center"/>
          </w:tcPr>
          <w:p w14:paraId="1F669006">
            <w:pPr>
              <w:jc w:val="right"/>
              <w:rPr>
                <w:rFonts w:ascii="宋体" w:hAnsi="宋体" w:cs="宋体"/>
                <w:kern w:val="0"/>
                <w:sz w:val="20"/>
                <w:szCs w:val="20"/>
              </w:rPr>
            </w:pPr>
          </w:p>
        </w:tc>
      </w:tr>
      <w:tr w14:paraId="1F0D36F5">
        <w:tblPrEx>
          <w:tblCellMar>
            <w:top w:w="0" w:type="dxa"/>
            <w:left w:w="108" w:type="dxa"/>
            <w:bottom w:w="0" w:type="dxa"/>
            <w:right w:w="108" w:type="dxa"/>
          </w:tblCellMar>
        </w:tblPrEx>
        <w:trPr>
          <w:trHeight w:val="240"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14:paraId="06C33513">
            <w:pPr>
              <w:jc w:val="left"/>
              <w:rPr>
                <w:rFonts w:ascii="宋体" w:hAnsi="宋体" w:cs="宋体"/>
                <w:kern w:val="0"/>
                <w:sz w:val="20"/>
                <w:szCs w:val="20"/>
              </w:rPr>
            </w:pPr>
          </w:p>
        </w:tc>
        <w:tc>
          <w:tcPr>
            <w:tcW w:w="3087" w:type="dxa"/>
            <w:tcBorders>
              <w:top w:val="nil"/>
              <w:left w:val="nil"/>
              <w:bottom w:val="single" w:color="auto" w:sz="4" w:space="0"/>
              <w:right w:val="single" w:color="auto" w:sz="4" w:space="0"/>
            </w:tcBorders>
            <w:shd w:val="clear" w:color="auto" w:fill="auto"/>
            <w:noWrap/>
            <w:vAlign w:val="center"/>
          </w:tcPr>
          <w:p w14:paraId="00F937E5">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3286D673">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14FDA088">
            <w:pPr>
              <w:jc w:val="left"/>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40870CDB">
            <w:pPr>
              <w:jc w:val="left"/>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111B0237">
            <w:pPr>
              <w:jc w:val="left"/>
              <w:rPr>
                <w:rFonts w:ascii="宋体" w:hAnsi="宋体" w:cs="宋体"/>
                <w:kern w:val="0"/>
                <w:sz w:val="20"/>
                <w:szCs w:val="20"/>
              </w:rPr>
            </w:pPr>
          </w:p>
        </w:tc>
      </w:tr>
      <w:tr w14:paraId="379978C5">
        <w:tblPrEx>
          <w:tblCellMar>
            <w:top w:w="0" w:type="dxa"/>
            <w:left w:w="108" w:type="dxa"/>
            <w:bottom w:w="0" w:type="dxa"/>
            <w:right w:w="108" w:type="dxa"/>
          </w:tblCellMar>
        </w:tblPrEx>
        <w:trPr>
          <w:trHeight w:val="240"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14:paraId="1D8D0C9B">
            <w:pPr>
              <w:jc w:val="left"/>
              <w:rPr>
                <w:rFonts w:ascii="宋体" w:hAnsi="宋体" w:cs="宋体"/>
                <w:kern w:val="0"/>
                <w:sz w:val="20"/>
                <w:szCs w:val="20"/>
              </w:rPr>
            </w:pPr>
          </w:p>
        </w:tc>
        <w:tc>
          <w:tcPr>
            <w:tcW w:w="3087" w:type="dxa"/>
            <w:tcBorders>
              <w:top w:val="nil"/>
              <w:left w:val="nil"/>
              <w:bottom w:val="single" w:color="auto" w:sz="4" w:space="0"/>
              <w:right w:val="single" w:color="auto" w:sz="4" w:space="0"/>
            </w:tcBorders>
            <w:shd w:val="clear" w:color="auto" w:fill="auto"/>
            <w:noWrap/>
            <w:vAlign w:val="center"/>
          </w:tcPr>
          <w:p w14:paraId="3188A5DE">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64B26EFE">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0440D808">
            <w:pPr>
              <w:jc w:val="left"/>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35102AA6">
            <w:pPr>
              <w:jc w:val="left"/>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5D6803BB">
            <w:pPr>
              <w:jc w:val="left"/>
              <w:rPr>
                <w:rFonts w:ascii="宋体" w:hAnsi="宋体" w:cs="宋体"/>
                <w:kern w:val="0"/>
                <w:sz w:val="20"/>
                <w:szCs w:val="20"/>
              </w:rPr>
            </w:pPr>
          </w:p>
        </w:tc>
      </w:tr>
      <w:tr w14:paraId="528237D9">
        <w:tblPrEx>
          <w:tblCellMar>
            <w:top w:w="0" w:type="dxa"/>
            <w:left w:w="108" w:type="dxa"/>
            <w:bottom w:w="0" w:type="dxa"/>
            <w:right w:w="108" w:type="dxa"/>
          </w:tblCellMar>
        </w:tblPrEx>
        <w:trPr>
          <w:trHeight w:val="240"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14:paraId="72B59756">
            <w:pPr>
              <w:jc w:val="left"/>
              <w:rPr>
                <w:rFonts w:ascii="宋体" w:hAnsi="宋体" w:cs="宋体"/>
                <w:kern w:val="0"/>
                <w:sz w:val="20"/>
                <w:szCs w:val="20"/>
              </w:rPr>
            </w:pPr>
          </w:p>
        </w:tc>
        <w:tc>
          <w:tcPr>
            <w:tcW w:w="3087" w:type="dxa"/>
            <w:tcBorders>
              <w:top w:val="nil"/>
              <w:left w:val="nil"/>
              <w:bottom w:val="single" w:color="auto" w:sz="4" w:space="0"/>
              <w:right w:val="single" w:color="auto" w:sz="4" w:space="0"/>
            </w:tcBorders>
            <w:shd w:val="clear" w:color="auto" w:fill="auto"/>
            <w:noWrap/>
            <w:vAlign w:val="center"/>
          </w:tcPr>
          <w:p w14:paraId="043514C9">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33B628F5">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6C42B21B">
            <w:pPr>
              <w:jc w:val="left"/>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27C215A9">
            <w:pPr>
              <w:jc w:val="left"/>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23470CD1">
            <w:pPr>
              <w:jc w:val="left"/>
              <w:rPr>
                <w:rFonts w:ascii="宋体" w:hAnsi="宋体" w:cs="宋体"/>
                <w:kern w:val="0"/>
                <w:sz w:val="20"/>
                <w:szCs w:val="20"/>
              </w:rPr>
            </w:pPr>
          </w:p>
        </w:tc>
      </w:tr>
      <w:tr w14:paraId="1BB9EAC2">
        <w:tblPrEx>
          <w:tblCellMar>
            <w:top w:w="0" w:type="dxa"/>
            <w:left w:w="108" w:type="dxa"/>
            <w:bottom w:w="0" w:type="dxa"/>
            <w:right w:w="108" w:type="dxa"/>
          </w:tblCellMar>
        </w:tblPrEx>
        <w:trPr>
          <w:trHeight w:val="240"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14:paraId="4047B431">
            <w:pPr>
              <w:jc w:val="left"/>
              <w:rPr>
                <w:rFonts w:ascii="宋体" w:hAnsi="宋体" w:cs="宋体"/>
                <w:kern w:val="0"/>
                <w:sz w:val="20"/>
                <w:szCs w:val="20"/>
              </w:rPr>
            </w:pPr>
          </w:p>
        </w:tc>
        <w:tc>
          <w:tcPr>
            <w:tcW w:w="3087" w:type="dxa"/>
            <w:tcBorders>
              <w:top w:val="nil"/>
              <w:left w:val="nil"/>
              <w:bottom w:val="single" w:color="auto" w:sz="4" w:space="0"/>
              <w:right w:val="single" w:color="auto" w:sz="4" w:space="0"/>
            </w:tcBorders>
            <w:shd w:val="clear" w:color="auto" w:fill="auto"/>
            <w:noWrap/>
            <w:vAlign w:val="center"/>
          </w:tcPr>
          <w:p w14:paraId="139FD02F">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3B471B95">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716D2B56">
            <w:pPr>
              <w:jc w:val="left"/>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158B2EE1">
            <w:pPr>
              <w:jc w:val="left"/>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70207B21">
            <w:pPr>
              <w:jc w:val="left"/>
              <w:rPr>
                <w:rFonts w:ascii="宋体" w:hAnsi="宋体" w:cs="宋体"/>
                <w:kern w:val="0"/>
                <w:sz w:val="20"/>
                <w:szCs w:val="20"/>
              </w:rPr>
            </w:pPr>
          </w:p>
        </w:tc>
      </w:tr>
      <w:tr w14:paraId="6CE9C8EC">
        <w:tblPrEx>
          <w:tblCellMar>
            <w:top w:w="0" w:type="dxa"/>
            <w:left w:w="108" w:type="dxa"/>
            <w:bottom w:w="0" w:type="dxa"/>
            <w:right w:w="108" w:type="dxa"/>
          </w:tblCellMar>
        </w:tblPrEx>
        <w:trPr>
          <w:trHeight w:val="372" w:hRule="atLeast"/>
        </w:trPr>
        <w:tc>
          <w:tcPr>
            <w:tcW w:w="355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45D268C4">
            <w:pPr>
              <w:jc w:val="center"/>
              <w:rPr>
                <w:rFonts w:ascii="宋体" w:hAnsi="宋体" w:cs="宋体"/>
                <w:kern w:val="0"/>
                <w:sz w:val="20"/>
                <w:szCs w:val="20"/>
              </w:rPr>
            </w:pPr>
            <w:r>
              <w:rPr>
                <w:rFonts w:hint="eastAsia" w:ascii="宋体" w:hAnsi="宋体" w:cs="宋体"/>
                <w:kern w:val="0"/>
                <w:sz w:val="20"/>
                <w:szCs w:val="20"/>
              </w:rPr>
              <w:t>合    计</w:t>
            </w:r>
          </w:p>
        </w:tc>
        <w:tc>
          <w:tcPr>
            <w:tcW w:w="992" w:type="dxa"/>
            <w:tcBorders>
              <w:top w:val="nil"/>
              <w:left w:val="nil"/>
              <w:bottom w:val="single" w:color="auto" w:sz="4" w:space="0"/>
              <w:right w:val="single" w:color="auto" w:sz="4" w:space="0"/>
            </w:tcBorders>
            <w:shd w:val="clear" w:color="auto" w:fill="auto"/>
            <w:noWrap/>
            <w:vAlign w:val="center"/>
          </w:tcPr>
          <w:p w14:paraId="31305B02">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7BAA4787">
            <w:pPr>
              <w:jc w:val="left"/>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2D17B883">
            <w:pPr>
              <w:jc w:val="left"/>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17E86AC5">
            <w:pPr>
              <w:jc w:val="left"/>
              <w:rPr>
                <w:rFonts w:ascii="宋体" w:hAnsi="宋体" w:cs="宋体"/>
                <w:kern w:val="0"/>
                <w:sz w:val="20"/>
                <w:szCs w:val="20"/>
              </w:rPr>
            </w:pPr>
          </w:p>
        </w:tc>
      </w:tr>
    </w:tbl>
    <w:p w14:paraId="7CCD1F77"/>
    <w:p w14:paraId="40E3407E">
      <w:pPr>
        <w:pStyle w:val="4"/>
        <w:keepNext w:val="0"/>
        <w:keepLines w:val="0"/>
      </w:pPr>
      <w:r>
        <w:rPr>
          <w:rFonts w:hint="eastAsia"/>
        </w:rPr>
        <w:t>（二）</w:t>
      </w:r>
      <w:r>
        <w:rPr>
          <w:rFonts w:hint="eastAsia"/>
          <w:kern w:val="0"/>
        </w:rPr>
        <w:t>单项工程投标价汇总表</w:t>
      </w:r>
    </w:p>
    <w:tbl>
      <w:tblPr>
        <w:tblStyle w:val="55"/>
        <w:tblW w:w="8379" w:type="dxa"/>
        <w:tblInd w:w="93" w:type="dxa"/>
        <w:tblLayout w:type="fixed"/>
        <w:tblCellMar>
          <w:top w:w="0" w:type="dxa"/>
          <w:left w:w="108" w:type="dxa"/>
          <w:bottom w:w="0" w:type="dxa"/>
          <w:right w:w="108" w:type="dxa"/>
        </w:tblCellMar>
      </w:tblPr>
      <w:tblGrid>
        <w:gridCol w:w="472"/>
        <w:gridCol w:w="3087"/>
        <w:gridCol w:w="992"/>
        <w:gridCol w:w="1134"/>
        <w:gridCol w:w="1094"/>
        <w:gridCol w:w="324"/>
        <w:gridCol w:w="1276"/>
      </w:tblGrid>
      <w:tr w14:paraId="637DDF23">
        <w:tblPrEx>
          <w:tblCellMar>
            <w:top w:w="0" w:type="dxa"/>
            <w:left w:w="108" w:type="dxa"/>
            <w:bottom w:w="0" w:type="dxa"/>
            <w:right w:w="108" w:type="dxa"/>
          </w:tblCellMar>
        </w:tblPrEx>
        <w:trPr>
          <w:trHeight w:val="372" w:hRule="atLeast"/>
        </w:trPr>
        <w:tc>
          <w:tcPr>
            <w:tcW w:w="6779" w:type="dxa"/>
            <w:gridSpan w:val="5"/>
            <w:tcBorders>
              <w:top w:val="nil"/>
              <w:left w:val="nil"/>
              <w:bottom w:val="nil"/>
              <w:right w:val="nil"/>
            </w:tcBorders>
            <w:shd w:val="clear" w:color="auto" w:fill="auto"/>
            <w:vAlign w:val="bottom"/>
          </w:tcPr>
          <w:p w14:paraId="6E6FFE89">
            <w:pPr>
              <w:jc w:val="left"/>
              <w:rPr>
                <w:rFonts w:ascii="宋体" w:hAnsi="宋体" w:cs="宋体"/>
                <w:kern w:val="0"/>
                <w:sz w:val="20"/>
                <w:szCs w:val="20"/>
              </w:rPr>
            </w:pPr>
            <w:r>
              <w:rPr>
                <w:rFonts w:hint="eastAsia" w:ascii="宋体" w:hAnsi="宋体" w:cs="宋体"/>
                <w:kern w:val="0"/>
                <w:sz w:val="20"/>
                <w:szCs w:val="20"/>
              </w:rPr>
              <w:t xml:space="preserve">工程名称: </w:t>
            </w:r>
          </w:p>
        </w:tc>
        <w:tc>
          <w:tcPr>
            <w:tcW w:w="1600" w:type="dxa"/>
            <w:gridSpan w:val="2"/>
            <w:tcBorders>
              <w:top w:val="nil"/>
              <w:left w:val="nil"/>
              <w:bottom w:val="nil"/>
              <w:right w:val="nil"/>
            </w:tcBorders>
            <w:shd w:val="clear" w:color="auto" w:fill="auto"/>
            <w:vAlign w:val="bottom"/>
          </w:tcPr>
          <w:p w14:paraId="18C01A27">
            <w:pPr>
              <w:jc w:val="right"/>
              <w:rPr>
                <w:rFonts w:ascii="宋体" w:hAnsi="宋体" w:cs="宋体"/>
                <w:kern w:val="0"/>
                <w:sz w:val="20"/>
                <w:szCs w:val="20"/>
              </w:rPr>
            </w:pPr>
            <w:r>
              <w:rPr>
                <w:rFonts w:hint="eastAsia" w:ascii="宋体" w:hAnsi="宋体" w:cs="宋体"/>
                <w:kern w:val="0"/>
                <w:sz w:val="20"/>
                <w:szCs w:val="20"/>
              </w:rPr>
              <w:t>第1页 共1页</w:t>
            </w:r>
          </w:p>
        </w:tc>
      </w:tr>
      <w:tr w14:paraId="27E38118">
        <w:tblPrEx>
          <w:tblCellMar>
            <w:top w:w="0" w:type="dxa"/>
            <w:left w:w="108" w:type="dxa"/>
            <w:bottom w:w="0" w:type="dxa"/>
            <w:right w:w="108" w:type="dxa"/>
          </w:tblCellMar>
        </w:tblPrEx>
        <w:trPr>
          <w:trHeight w:val="372" w:hRule="atLeast"/>
        </w:trPr>
        <w:tc>
          <w:tcPr>
            <w:tcW w:w="472"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14:paraId="56727EEA">
            <w:pPr>
              <w:jc w:val="center"/>
              <w:rPr>
                <w:rFonts w:ascii="宋体" w:hAnsi="宋体" w:cs="宋体"/>
                <w:kern w:val="0"/>
                <w:sz w:val="20"/>
                <w:szCs w:val="20"/>
              </w:rPr>
            </w:pPr>
            <w:r>
              <w:rPr>
                <w:rFonts w:hint="eastAsia" w:ascii="宋体" w:hAnsi="宋体" w:cs="宋体"/>
                <w:kern w:val="0"/>
                <w:sz w:val="20"/>
                <w:szCs w:val="20"/>
              </w:rPr>
              <w:t>序号</w:t>
            </w:r>
          </w:p>
        </w:tc>
        <w:tc>
          <w:tcPr>
            <w:tcW w:w="3087"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6910B64E">
            <w:pPr>
              <w:jc w:val="center"/>
              <w:rPr>
                <w:rFonts w:ascii="宋体" w:hAnsi="宋体" w:cs="宋体"/>
                <w:kern w:val="0"/>
                <w:sz w:val="20"/>
                <w:szCs w:val="20"/>
              </w:rPr>
            </w:pPr>
            <w:r>
              <w:rPr>
                <w:rFonts w:hint="eastAsia" w:ascii="宋体" w:hAnsi="宋体" w:cs="宋体"/>
                <w:kern w:val="0"/>
                <w:sz w:val="20"/>
                <w:szCs w:val="20"/>
              </w:rPr>
              <w:t>单位工程名称</w:t>
            </w:r>
          </w:p>
        </w:tc>
        <w:tc>
          <w:tcPr>
            <w:tcW w:w="992"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52F70D70">
            <w:pPr>
              <w:jc w:val="center"/>
              <w:rPr>
                <w:rFonts w:ascii="宋体" w:hAnsi="宋体" w:cs="宋体"/>
                <w:kern w:val="0"/>
                <w:sz w:val="20"/>
                <w:szCs w:val="20"/>
              </w:rPr>
            </w:pPr>
            <w:r>
              <w:rPr>
                <w:rFonts w:hint="eastAsia" w:ascii="宋体" w:hAnsi="宋体" w:cs="宋体"/>
                <w:kern w:val="0"/>
                <w:sz w:val="20"/>
                <w:szCs w:val="20"/>
              </w:rPr>
              <w:t>金额(元)</w:t>
            </w:r>
          </w:p>
        </w:tc>
        <w:tc>
          <w:tcPr>
            <w:tcW w:w="3828" w:type="dxa"/>
            <w:gridSpan w:val="4"/>
            <w:tcBorders>
              <w:top w:val="single" w:color="auto" w:sz="4" w:space="0"/>
              <w:left w:val="nil"/>
              <w:bottom w:val="single" w:color="000000" w:sz="4" w:space="0"/>
              <w:right w:val="single" w:color="000000" w:sz="4" w:space="0"/>
            </w:tcBorders>
            <w:shd w:val="clear" w:color="000000" w:fill="FFFFFF"/>
            <w:vAlign w:val="center"/>
          </w:tcPr>
          <w:p w14:paraId="5B3DA749">
            <w:pPr>
              <w:jc w:val="center"/>
              <w:rPr>
                <w:rFonts w:ascii="宋体" w:hAnsi="宋体" w:cs="宋体"/>
                <w:kern w:val="0"/>
                <w:sz w:val="20"/>
                <w:szCs w:val="20"/>
              </w:rPr>
            </w:pPr>
            <w:r>
              <w:rPr>
                <w:rFonts w:hint="eastAsia" w:ascii="宋体" w:hAnsi="宋体" w:cs="宋体"/>
                <w:kern w:val="0"/>
                <w:sz w:val="20"/>
                <w:szCs w:val="20"/>
              </w:rPr>
              <w:t>其中</w:t>
            </w:r>
          </w:p>
        </w:tc>
      </w:tr>
      <w:tr w14:paraId="37DF598A">
        <w:tblPrEx>
          <w:tblCellMar>
            <w:top w:w="0" w:type="dxa"/>
            <w:left w:w="108" w:type="dxa"/>
            <w:bottom w:w="0" w:type="dxa"/>
            <w:right w:w="108" w:type="dxa"/>
          </w:tblCellMar>
        </w:tblPrEx>
        <w:trPr>
          <w:trHeight w:val="668" w:hRule="atLeast"/>
        </w:trPr>
        <w:tc>
          <w:tcPr>
            <w:tcW w:w="47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4C62B42">
            <w:pPr>
              <w:jc w:val="left"/>
              <w:rPr>
                <w:rFonts w:ascii="宋体" w:hAnsi="宋体" w:cs="宋体"/>
                <w:kern w:val="0"/>
                <w:sz w:val="20"/>
                <w:szCs w:val="20"/>
              </w:rPr>
            </w:pPr>
          </w:p>
        </w:tc>
        <w:tc>
          <w:tcPr>
            <w:tcW w:w="308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5A30CF3">
            <w:pPr>
              <w:jc w:val="left"/>
              <w:rPr>
                <w:rFonts w:ascii="宋体" w:hAnsi="宋体" w:cs="宋体"/>
                <w:kern w:val="0"/>
                <w:sz w:val="20"/>
                <w:szCs w:val="20"/>
              </w:rPr>
            </w:pPr>
          </w:p>
        </w:tc>
        <w:tc>
          <w:tcPr>
            <w:tcW w:w="99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25766B7">
            <w:pPr>
              <w:jc w:val="left"/>
              <w:rPr>
                <w:rFonts w:ascii="宋体" w:hAnsi="宋体" w:cs="宋体"/>
                <w:kern w:val="0"/>
                <w:sz w:val="20"/>
                <w:szCs w:val="20"/>
              </w:rPr>
            </w:pPr>
          </w:p>
        </w:tc>
        <w:tc>
          <w:tcPr>
            <w:tcW w:w="1134" w:type="dxa"/>
            <w:tcBorders>
              <w:top w:val="nil"/>
              <w:left w:val="nil"/>
              <w:bottom w:val="single" w:color="000000" w:sz="4" w:space="0"/>
              <w:right w:val="single" w:color="000000" w:sz="4" w:space="0"/>
            </w:tcBorders>
            <w:shd w:val="clear" w:color="000000" w:fill="FFFFFF"/>
            <w:vAlign w:val="center"/>
          </w:tcPr>
          <w:p w14:paraId="2E06F5B7">
            <w:pPr>
              <w:jc w:val="center"/>
              <w:rPr>
                <w:rFonts w:ascii="宋体" w:hAnsi="宋体" w:cs="宋体"/>
                <w:kern w:val="0"/>
                <w:sz w:val="20"/>
                <w:szCs w:val="20"/>
              </w:rPr>
            </w:pPr>
            <w:r>
              <w:rPr>
                <w:rFonts w:hint="eastAsia" w:ascii="宋体" w:hAnsi="宋体" w:cs="宋体"/>
                <w:kern w:val="0"/>
                <w:sz w:val="20"/>
                <w:szCs w:val="20"/>
              </w:rPr>
              <w:t>材料设备</w:t>
            </w:r>
            <w:r>
              <w:rPr>
                <w:rFonts w:hint="eastAsia" w:ascii="宋体" w:hAnsi="宋体" w:cs="宋体"/>
                <w:kern w:val="0"/>
                <w:sz w:val="20"/>
                <w:szCs w:val="20"/>
              </w:rPr>
              <w:br w:type="textWrapping"/>
            </w:r>
            <w:r>
              <w:rPr>
                <w:rFonts w:hint="eastAsia" w:ascii="宋体" w:hAnsi="宋体" w:cs="宋体"/>
                <w:kern w:val="0"/>
                <w:sz w:val="20"/>
                <w:szCs w:val="20"/>
              </w:rPr>
              <w:t>暂估价(元)</w:t>
            </w:r>
          </w:p>
        </w:tc>
        <w:tc>
          <w:tcPr>
            <w:tcW w:w="1418" w:type="dxa"/>
            <w:gridSpan w:val="2"/>
            <w:tcBorders>
              <w:top w:val="nil"/>
              <w:left w:val="nil"/>
              <w:bottom w:val="single" w:color="000000" w:sz="4" w:space="0"/>
              <w:right w:val="single" w:color="000000" w:sz="4" w:space="0"/>
            </w:tcBorders>
            <w:shd w:val="clear" w:color="000000" w:fill="FFFFFF"/>
            <w:vAlign w:val="center"/>
          </w:tcPr>
          <w:p w14:paraId="04C9EB16">
            <w:pPr>
              <w:jc w:val="center"/>
              <w:rPr>
                <w:rFonts w:ascii="宋体" w:hAnsi="宋体" w:cs="宋体"/>
                <w:kern w:val="0"/>
                <w:sz w:val="20"/>
                <w:szCs w:val="20"/>
              </w:rPr>
            </w:pPr>
            <w:r>
              <w:rPr>
                <w:rFonts w:hint="eastAsia" w:ascii="宋体" w:hAnsi="宋体" w:cs="宋体"/>
                <w:kern w:val="0"/>
                <w:sz w:val="20"/>
                <w:szCs w:val="20"/>
              </w:rPr>
              <w:t>安全文明施工</w:t>
            </w:r>
            <w:r>
              <w:rPr>
                <w:rFonts w:hint="eastAsia" w:ascii="宋体" w:hAnsi="宋体" w:cs="宋体"/>
                <w:kern w:val="0"/>
                <w:sz w:val="20"/>
                <w:szCs w:val="20"/>
              </w:rPr>
              <w:br w:type="textWrapping"/>
            </w:r>
            <w:r>
              <w:rPr>
                <w:rFonts w:hint="eastAsia" w:ascii="宋体" w:hAnsi="宋体" w:cs="宋体"/>
                <w:kern w:val="0"/>
                <w:sz w:val="20"/>
                <w:szCs w:val="20"/>
              </w:rPr>
              <w:t>措施费(元)</w:t>
            </w:r>
          </w:p>
        </w:tc>
        <w:tc>
          <w:tcPr>
            <w:tcW w:w="1276" w:type="dxa"/>
            <w:tcBorders>
              <w:top w:val="nil"/>
              <w:left w:val="nil"/>
              <w:bottom w:val="single" w:color="000000" w:sz="4" w:space="0"/>
              <w:right w:val="single" w:color="auto" w:sz="4" w:space="0"/>
            </w:tcBorders>
            <w:shd w:val="clear" w:color="000000" w:fill="FFFFFF"/>
            <w:vAlign w:val="center"/>
          </w:tcPr>
          <w:p w14:paraId="4D91842D">
            <w:pPr>
              <w:jc w:val="center"/>
              <w:rPr>
                <w:rFonts w:ascii="宋体" w:hAnsi="宋体" w:cs="宋体"/>
                <w:kern w:val="0"/>
                <w:sz w:val="20"/>
                <w:szCs w:val="20"/>
              </w:rPr>
            </w:pPr>
            <w:r>
              <w:rPr>
                <w:rFonts w:hint="eastAsia" w:ascii="宋体" w:hAnsi="宋体" w:cs="宋体"/>
                <w:kern w:val="0"/>
                <w:sz w:val="20"/>
                <w:szCs w:val="20"/>
              </w:rPr>
              <w:t>规费</w:t>
            </w:r>
            <w:r>
              <w:rPr>
                <w:rFonts w:hint="eastAsia" w:ascii="宋体" w:hAnsi="宋体" w:cs="宋体"/>
                <w:kern w:val="0"/>
                <w:sz w:val="20"/>
                <w:szCs w:val="20"/>
              </w:rPr>
              <w:br w:type="textWrapping"/>
            </w:r>
            <w:r>
              <w:rPr>
                <w:rFonts w:hint="eastAsia" w:ascii="宋体" w:hAnsi="宋体" w:cs="宋体"/>
                <w:kern w:val="0"/>
                <w:sz w:val="20"/>
                <w:szCs w:val="20"/>
              </w:rPr>
              <w:t>(元)</w:t>
            </w:r>
          </w:p>
        </w:tc>
      </w:tr>
      <w:tr w14:paraId="1E7DE247">
        <w:tblPrEx>
          <w:tblCellMar>
            <w:top w:w="0" w:type="dxa"/>
            <w:left w:w="108" w:type="dxa"/>
            <w:bottom w:w="0" w:type="dxa"/>
            <w:right w:w="108" w:type="dxa"/>
          </w:tblCellMar>
        </w:tblPrEx>
        <w:trPr>
          <w:trHeight w:val="668" w:hRule="atLeast"/>
        </w:trPr>
        <w:tc>
          <w:tcPr>
            <w:tcW w:w="472" w:type="dxa"/>
            <w:tcBorders>
              <w:top w:val="nil"/>
              <w:left w:val="single" w:color="auto" w:sz="4" w:space="0"/>
              <w:bottom w:val="single" w:color="auto" w:sz="4" w:space="0"/>
              <w:right w:val="single" w:color="auto" w:sz="4" w:space="0"/>
            </w:tcBorders>
            <w:shd w:val="clear" w:color="000000" w:fill="FFFFFF"/>
            <w:noWrap/>
            <w:vAlign w:val="center"/>
          </w:tcPr>
          <w:p w14:paraId="58A20443">
            <w:pPr>
              <w:jc w:val="center"/>
              <w:rPr>
                <w:rFonts w:ascii="宋体" w:hAnsi="宋体" w:cs="宋体"/>
                <w:kern w:val="0"/>
                <w:sz w:val="20"/>
                <w:szCs w:val="20"/>
              </w:rPr>
            </w:pPr>
            <w:r>
              <w:rPr>
                <w:rFonts w:hint="eastAsia" w:ascii="宋体" w:hAnsi="宋体" w:cs="宋体"/>
                <w:kern w:val="0"/>
                <w:sz w:val="20"/>
                <w:szCs w:val="20"/>
              </w:rPr>
              <w:t>1</w:t>
            </w:r>
          </w:p>
        </w:tc>
        <w:tc>
          <w:tcPr>
            <w:tcW w:w="3087" w:type="dxa"/>
            <w:tcBorders>
              <w:top w:val="nil"/>
              <w:left w:val="nil"/>
              <w:bottom w:val="single" w:color="auto" w:sz="4" w:space="0"/>
              <w:right w:val="single" w:color="auto" w:sz="4" w:space="0"/>
            </w:tcBorders>
            <w:shd w:val="clear" w:color="000000" w:fill="FFFFFF"/>
            <w:vAlign w:val="center"/>
          </w:tcPr>
          <w:p w14:paraId="7D6DDCEF">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000000" w:fill="FFFFFF"/>
            <w:noWrap/>
            <w:vAlign w:val="center"/>
          </w:tcPr>
          <w:p w14:paraId="1DC3E598">
            <w:pPr>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42256AD2">
            <w:pPr>
              <w:jc w:val="right"/>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000000" w:fill="FFFFFF"/>
            <w:noWrap/>
            <w:vAlign w:val="center"/>
          </w:tcPr>
          <w:p w14:paraId="7EBCD683">
            <w:pPr>
              <w:jc w:val="right"/>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000000" w:fill="FFFFFF"/>
            <w:noWrap/>
            <w:vAlign w:val="center"/>
          </w:tcPr>
          <w:p w14:paraId="107E0751">
            <w:pPr>
              <w:jc w:val="right"/>
              <w:rPr>
                <w:rFonts w:ascii="宋体" w:hAnsi="宋体" w:cs="宋体"/>
                <w:kern w:val="0"/>
                <w:sz w:val="20"/>
                <w:szCs w:val="20"/>
              </w:rPr>
            </w:pPr>
          </w:p>
        </w:tc>
      </w:tr>
      <w:tr w14:paraId="79EDFDF0">
        <w:tblPrEx>
          <w:tblCellMar>
            <w:top w:w="0" w:type="dxa"/>
            <w:left w:w="108" w:type="dxa"/>
            <w:bottom w:w="0" w:type="dxa"/>
            <w:right w:w="108" w:type="dxa"/>
          </w:tblCellMar>
        </w:tblPrEx>
        <w:trPr>
          <w:trHeight w:val="342"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14:paraId="4D9DF603">
            <w:pPr>
              <w:jc w:val="left"/>
              <w:rPr>
                <w:rFonts w:ascii="宋体" w:hAnsi="宋体" w:cs="宋体"/>
                <w:kern w:val="0"/>
                <w:sz w:val="20"/>
                <w:szCs w:val="20"/>
              </w:rPr>
            </w:pPr>
          </w:p>
        </w:tc>
        <w:tc>
          <w:tcPr>
            <w:tcW w:w="3087" w:type="dxa"/>
            <w:tcBorders>
              <w:top w:val="nil"/>
              <w:left w:val="nil"/>
              <w:bottom w:val="single" w:color="auto" w:sz="4" w:space="0"/>
              <w:right w:val="single" w:color="auto" w:sz="4" w:space="0"/>
            </w:tcBorders>
            <w:shd w:val="clear" w:color="auto" w:fill="auto"/>
            <w:noWrap/>
            <w:vAlign w:val="center"/>
          </w:tcPr>
          <w:p w14:paraId="1CD94962">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017E7010">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13E74CF9">
            <w:pPr>
              <w:jc w:val="left"/>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30F63B28">
            <w:pPr>
              <w:jc w:val="left"/>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7E42DB36">
            <w:pPr>
              <w:jc w:val="left"/>
              <w:rPr>
                <w:rFonts w:ascii="宋体" w:hAnsi="宋体" w:cs="宋体"/>
                <w:kern w:val="0"/>
                <w:sz w:val="20"/>
                <w:szCs w:val="20"/>
              </w:rPr>
            </w:pPr>
          </w:p>
        </w:tc>
      </w:tr>
      <w:tr w14:paraId="1C76B405">
        <w:tblPrEx>
          <w:tblCellMar>
            <w:top w:w="0" w:type="dxa"/>
            <w:left w:w="108" w:type="dxa"/>
            <w:bottom w:w="0" w:type="dxa"/>
            <w:right w:w="108" w:type="dxa"/>
          </w:tblCellMar>
        </w:tblPrEx>
        <w:trPr>
          <w:trHeight w:val="342"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14:paraId="3840FFB6">
            <w:pPr>
              <w:jc w:val="left"/>
              <w:rPr>
                <w:rFonts w:ascii="宋体" w:hAnsi="宋体" w:cs="宋体"/>
                <w:kern w:val="0"/>
                <w:sz w:val="20"/>
                <w:szCs w:val="20"/>
              </w:rPr>
            </w:pPr>
          </w:p>
        </w:tc>
        <w:tc>
          <w:tcPr>
            <w:tcW w:w="3087" w:type="dxa"/>
            <w:tcBorders>
              <w:top w:val="nil"/>
              <w:left w:val="nil"/>
              <w:bottom w:val="single" w:color="auto" w:sz="4" w:space="0"/>
              <w:right w:val="single" w:color="auto" w:sz="4" w:space="0"/>
            </w:tcBorders>
            <w:shd w:val="clear" w:color="auto" w:fill="auto"/>
            <w:noWrap/>
            <w:vAlign w:val="center"/>
          </w:tcPr>
          <w:p w14:paraId="681B4DD3">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5A8737BD">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60B344EA">
            <w:pPr>
              <w:jc w:val="left"/>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3290C7B1">
            <w:pPr>
              <w:jc w:val="left"/>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54063C3F">
            <w:pPr>
              <w:jc w:val="left"/>
              <w:rPr>
                <w:rFonts w:ascii="宋体" w:hAnsi="宋体" w:cs="宋体"/>
                <w:kern w:val="0"/>
                <w:sz w:val="20"/>
                <w:szCs w:val="20"/>
              </w:rPr>
            </w:pPr>
          </w:p>
        </w:tc>
      </w:tr>
      <w:tr w14:paraId="6151AF7C">
        <w:tblPrEx>
          <w:tblCellMar>
            <w:top w:w="0" w:type="dxa"/>
            <w:left w:w="108" w:type="dxa"/>
            <w:bottom w:w="0" w:type="dxa"/>
            <w:right w:w="108" w:type="dxa"/>
          </w:tblCellMar>
        </w:tblPrEx>
        <w:trPr>
          <w:trHeight w:val="342"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14:paraId="2C127101">
            <w:pPr>
              <w:jc w:val="left"/>
              <w:rPr>
                <w:rFonts w:ascii="宋体" w:hAnsi="宋体" w:cs="宋体"/>
                <w:kern w:val="0"/>
                <w:sz w:val="20"/>
                <w:szCs w:val="20"/>
              </w:rPr>
            </w:pPr>
          </w:p>
        </w:tc>
        <w:tc>
          <w:tcPr>
            <w:tcW w:w="3087" w:type="dxa"/>
            <w:tcBorders>
              <w:top w:val="nil"/>
              <w:left w:val="nil"/>
              <w:bottom w:val="single" w:color="auto" w:sz="4" w:space="0"/>
              <w:right w:val="single" w:color="auto" w:sz="4" w:space="0"/>
            </w:tcBorders>
            <w:shd w:val="clear" w:color="auto" w:fill="auto"/>
            <w:noWrap/>
            <w:vAlign w:val="center"/>
          </w:tcPr>
          <w:p w14:paraId="38A1F040">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2C74C446">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3D3F8FFB">
            <w:pPr>
              <w:jc w:val="left"/>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05B184E3">
            <w:pPr>
              <w:jc w:val="left"/>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2A2D4032">
            <w:pPr>
              <w:jc w:val="left"/>
              <w:rPr>
                <w:rFonts w:ascii="宋体" w:hAnsi="宋体" w:cs="宋体"/>
                <w:kern w:val="0"/>
                <w:sz w:val="20"/>
                <w:szCs w:val="20"/>
              </w:rPr>
            </w:pPr>
          </w:p>
        </w:tc>
      </w:tr>
      <w:tr w14:paraId="03C7B14C">
        <w:tblPrEx>
          <w:tblCellMar>
            <w:top w:w="0" w:type="dxa"/>
            <w:left w:w="108" w:type="dxa"/>
            <w:bottom w:w="0" w:type="dxa"/>
            <w:right w:w="108" w:type="dxa"/>
          </w:tblCellMar>
        </w:tblPrEx>
        <w:trPr>
          <w:trHeight w:val="342"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14:paraId="62E92505">
            <w:pPr>
              <w:jc w:val="left"/>
              <w:rPr>
                <w:rFonts w:ascii="宋体" w:hAnsi="宋体" w:cs="宋体"/>
                <w:kern w:val="0"/>
                <w:sz w:val="20"/>
                <w:szCs w:val="20"/>
              </w:rPr>
            </w:pPr>
          </w:p>
        </w:tc>
        <w:tc>
          <w:tcPr>
            <w:tcW w:w="3087" w:type="dxa"/>
            <w:tcBorders>
              <w:top w:val="nil"/>
              <w:left w:val="nil"/>
              <w:bottom w:val="single" w:color="auto" w:sz="4" w:space="0"/>
              <w:right w:val="single" w:color="auto" w:sz="4" w:space="0"/>
            </w:tcBorders>
            <w:shd w:val="clear" w:color="auto" w:fill="auto"/>
            <w:noWrap/>
            <w:vAlign w:val="center"/>
          </w:tcPr>
          <w:p w14:paraId="508F5C33">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5D1D76A1">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75A37187">
            <w:pPr>
              <w:jc w:val="left"/>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0D05E69C">
            <w:pPr>
              <w:jc w:val="left"/>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1ED52FD6">
            <w:pPr>
              <w:jc w:val="left"/>
              <w:rPr>
                <w:rFonts w:ascii="宋体" w:hAnsi="宋体" w:cs="宋体"/>
                <w:kern w:val="0"/>
                <w:sz w:val="20"/>
                <w:szCs w:val="20"/>
              </w:rPr>
            </w:pPr>
          </w:p>
        </w:tc>
      </w:tr>
      <w:tr w14:paraId="26D5DBAC">
        <w:tblPrEx>
          <w:tblCellMar>
            <w:top w:w="0" w:type="dxa"/>
            <w:left w:w="108" w:type="dxa"/>
            <w:bottom w:w="0" w:type="dxa"/>
            <w:right w:w="108" w:type="dxa"/>
          </w:tblCellMar>
        </w:tblPrEx>
        <w:trPr>
          <w:trHeight w:val="215" w:hRule="atLeast"/>
        </w:trPr>
        <w:tc>
          <w:tcPr>
            <w:tcW w:w="355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3643789">
            <w:pPr>
              <w:jc w:val="center"/>
              <w:rPr>
                <w:rFonts w:ascii="宋体" w:hAnsi="宋体" w:cs="宋体"/>
                <w:kern w:val="0"/>
                <w:sz w:val="20"/>
                <w:szCs w:val="20"/>
              </w:rPr>
            </w:pPr>
            <w:r>
              <w:rPr>
                <w:rFonts w:hint="eastAsia" w:ascii="宋体" w:hAnsi="宋体" w:cs="宋体"/>
                <w:kern w:val="0"/>
                <w:sz w:val="20"/>
                <w:szCs w:val="20"/>
              </w:rPr>
              <w:t>合    计</w:t>
            </w:r>
          </w:p>
        </w:tc>
        <w:tc>
          <w:tcPr>
            <w:tcW w:w="992" w:type="dxa"/>
            <w:tcBorders>
              <w:top w:val="nil"/>
              <w:left w:val="nil"/>
              <w:bottom w:val="single" w:color="auto" w:sz="4" w:space="0"/>
              <w:right w:val="single" w:color="auto" w:sz="4" w:space="0"/>
            </w:tcBorders>
            <w:shd w:val="clear" w:color="auto" w:fill="auto"/>
            <w:noWrap/>
            <w:vAlign w:val="center"/>
          </w:tcPr>
          <w:p w14:paraId="11FFC0FF">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4C121561">
            <w:pPr>
              <w:jc w:val="left"/>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78807460">
            <w:pPr>
              <w:jc w:val="left"/>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520B6A8D">
            <w:pPr>
              <w:jc w:val="left"/>
              <w:rPr>
                <w:rFonts w:ascii="宋体" w:hAnsi="宋体" w:cs="宋体"/>
                <w:kern w:val="0"/>
                <w:sz w:val="20"/>
                <w:szCs w:val="20"/>
              </w:rPr>
            </w:pPr>
          </w:p>
        </w:tc>
      </w:tr>
    </w:tbl>
    <w:p w14:paraId="4AAFBB34">
      <w:pPr>
        <w:pStyle w:val="4"/>
        <w:keepNext w:val="0"/>
        <w:keepLines w:val="0"/>
      </w:pPr>
      <w:r>
        <w:rPr>
          <w:rFonts w:hint="eastAsia"/>
        </w:rPr>
        <w:t>（三）</w:t>
      </w:r>
      <w:r>
        <w:rPr>
          <w:rFonts w:hint="eastAsia"/>
          <w:kern w:val="0"/>
        </w:rPr>
        <w:t>单位工程投标报价汇总表</w:t>
      </w:r>
    </w:p>
    <w:tbl>
      <w:tblPr>
        <w:tblStyle w:val="55"/>
        <w:tblW w:w="7812" w:type="dxa"/>
        <w:tblInd w:w="93" w:type="dxa"/>
        <w:tblLayout w:type="fixed"/>
        <w:tblCellMar>
          <w:top w:w="0" w:type="dxa"/>
          <w:left w:w="108" w:type="dxa"/>
          <w:bottom w:w="0" w:type="dxa"/>
          <w:right w:w="108" w:type="dxa"/>
        </w:tblCellMar>
      </w:tblPr>
      <w:tblGrid>
        <w:gridCol w:w="1575"/>
        <w:gridCol w:w="3260"/>
        <w:gridCol w:w="1134"/>
        <w:gridCol w:w="1843"/>
      </w:tblGrid>
      <w:tr w14:paraId="2E83F467">
        <w:tblPrEx>
          <w:tblCellMar>
            <w:top w:w="0" w:type="dxa"/>
            <w:left w:w="108" w:type="dxa"/>
            <w:bottom w:w="0" w:type="dxa"/>
            <w:right w:w="108" w:type="dxa"/>
          </w:tblCellMar>
        </w:tblPrEx>
        <w:trPr>
          <w:trHeight w:val="668" w:hRule="atLeast"/>
        </w:trPr>
        <w:tc>
          <w:tcPr>
            <w:tcW w:w="1575" w:type="dxa"/>
            <w:tcBorders>
              <w:top w:val="nil"/>
              <w:left w:val="nil"/>
              <w:bottom w:val="nil"/>
              <w:right w:val="nil"/>
            </w:tcBorders>
            <w:shd w:val="clear" w:color="auto" w:fill="auto"/>
            <w:vAlign w:val="bottom"/>
          </w:tcPr>
          <w:p w14:paraId="0009F636">
            <w:pPr>
              <w:jc w:val="left"/>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3260" w:type="dxa"/>
            <w:tcBorders>
              <w:top w:val="nil"/>
              <w:left w:val="nil"/>
              <w:bottom w:val="nil"/>
              <w:right w:val="nil"/>
            </w:tcBorders>
            <w:shd w:val="clear" w:color="auto" w:fill="auto"/>
            <w:vAlign w:val="bottom"/>
          </w:tcPr>
          <w:p w14:paraId="1F78AD18">
            <w:pPr>
              <w:jc w:val="center"/>
              <w:rPr>
                <w:rFonts w:ascii="宋体" w:hAnsi="宋体" w:cs="宋体"/>
                <w:kern w:val="0"/>
                <w:sz w:val="20"/>
                <w:szCs w:val="20"/>
              </w:rPr>
            </w:pPr>
          </w:p>
        </w:tc>
        <w:tc>
          <w:tcPr>
            <w:tcW w:w="2977" w:type="dxa"/>
            <w:gridSpan w:val="2"/>
            <w:tcBorders>
              <w:top w:val="nil"/>
              <w:left w:val="nil"/>
              <w:bottom w:val="nil"/>
              <w:right w:val="nil"/>
            </w:tcBorders>
            <w:shd w:val="clear" w:color="auto" w:fill="auto"/>
            <w:vAlign w:val="bottom"/>
          </w:tcPr>
          <w:p w14:paraId="4952BC17">
            <w:pPr>
              <w:jc w:val="right"/>
              <w:rPr>
                <w:rFonts w:ascii="宋体" w:hAnsi="宋体" w:cs="宋体"/>
                <w:kern w:val="0"/>
                <w:sz w:val="20"/>
                <w:szCs w:val="20"/>
              </w:rPr>
            </w:pPr>
            <w:r>
              <w:rPr>
                <w:rFonts w:hint="eastAsia" w:ascii="宋体" w:hAnsi="宋体" w:cs="宋体"/>
                <w:kern w:val="0"/>
                <w:sz w:val="20"/>
                <w:szCs w:val="20"/>
              </w:rPr>
              <w:t>第1页 共1页</w:t>
            </w:r>
          </w:p>
        </w:tc>
      </w:tr>
      <w:tr w14:paraId="5E202B4F">
        <w:tblPrEx>
          <w:tblCellMar>
            <w:top w:w="0" w:type="dxa"/>
            <w:left w:w="108" w:type="dxa"/>
            <w:bottom w:w="0" w:type="dxa"/>
            <w:right w:w="108" w:type="dxa"/>
          </w:tblCellMar>
        </w:tblPrEx>
        <w:trPr>
          <w:trHeight w:val="1174" w:hRule="atLeast"/>
        </w:trPr>
        <w:tc>
          <w:tcPr>
            <w:tcW w:w="1575" w:type="dxa"/>
            <w:tcBorders>
              <w:top w:val="single" w:color="auto" w:sz="4" w:space="0"/>
              <w:left w:val="single" w:color="auto" w:sz="4" w:space="0"/>
              <w:bottom w:val="single" w:color="000000" w:sz="4" w:space="0"/>
              <w:right w:val="single" w:color="000000" w:sz="4" w:space="0"/>
            </w:tcBorders>
            <w:shd w:val="clear" w:color="000000" w:fill="FFFFFF"/>
            <w:noWrap/>
            <w:vAlign w:val="center"/>
          </w:tcPr>
          <w:p w14:paraId="705E466B">
            <w:pPr>
              <w:jc w:val="center"/>
              <w:rPr>
                <w:rFonts w:ascii="宋体" w:hAnsi="宋体" w:cs="宋体"/>
                <w:kern w:val="0"/>
                <w:sz w:val="20"/>
                <w:szCs w:val="20"/>
              </w:rPr>
            </w:pPr>
            <w:r>
              <w:rPr>
                <w:rFonts w:hint="eastAsia" w:ascii="宋体" w:hAnsi="宋体" w:cs="宋体"/>
                <w:kern w:val="0"/>
                <w:sz w:val="20"/>
                <w:szCs w:val="20"/>
              </w:rPr>
              <w:t xml:space="preserve"> 序 号</w:t>
            </w:r>
          </w:p>
        </w:tc>
        <w:tc>
          <w:tcPr>
            <w:tcW w:w="3260" w:type="dxa"/>
            <w:tcBorders>
              <w:top w:val="single" w:color="auto" w:sz="4" w:space="0"/>
              <w:left w:val="nil"/>
              <w:bottom w:val="single" w:color="000000" w:sz="4" w:space="0"/>
              <w:right w:val="single" w:color="000000" w:sz="4" w:space="0"/>
            </w:tcBorders>
            <w:shd w:val="clear" w:color="000000" w:fill="FFFFFF"/>
            <w:vAlign w:val="center"/>
          </w:tcPr>
          <w:p w14:paraId="34DC9D43">
            <w:pPr>
              <w:jc w:val="center"/>
              <w:rPr>
                <w:rFonts w:ascii="宋体" w:hAnsi="宋体" w:cs="宋体"/>
                <w:kern w:val="0"/>
                <w:sz w:val="20"/>
                <w:szCs w:val="20"/>
              </w:rPr>
            </w:pPr>
            <w:r>
              <w:rPr>
                <w:rFonts w:hint="eastAsia" w:ascii="宋体" w:hAnsi="宋体" w:cs="宋体"/>
                <w:kern w:val="0"/>
                <w:sz w:val="20"/>
                <w:szCs w:val="20"/>
              </w:rPr>
              <w:t>汇 总 内 容</w:t>
            </w:r>
          </w:p>
        </w:tc>
        <w:tc>
          <w:tcPr>
            <w:tcW w:w="1134" w:type="dxa"/>
            <w:tcBorders>
              <w:top w:val="single" w:color="auto" w:sz="4" w:space="0"/>
              <w:left w:val="nil"/>
              <w:bottom w:val="single" w:color="000000" w:sz="4" w:space="0"/>
              <w:right w:val="single" w:color="000000" w:sz="4" w:space="0"/>
            </w:tcBorders>
            <w:shd w:val="clear" w:color="000000" w:fill="FFFFFF"/>
            <w:noWrap/>
            <w:vAlign w:val="center"/>
          </w:tcPr>
          <w:p w14:paraId="5F9CAE00">
            <w:pPr>
              <w:jc w:val="center"/>
              <w:rPr>
                <w:rFonts w:ascii="宋体" w:hAnsi="宋体" w:cs="宋体"/>
                <w:kern w:val="0"/>
                <w:sz w:val="20"/>
                <w:szCs w:val="20"/>
              </w:rPr>
            </w:pPr>
            <w:r>
              <w:rPr>
                <w:rFonts w:hint="eastAsia" w:ascii="宋体" w:hAnsi="宋体" w:cs="宋体"/>
                <w:kern w:val="0"/>
                <w:sz w:val="20"/>
                <w:szCs w:val="20"/>
              </w:rPr>
              <w:t>金额(元)</w:t>
            </w:r>
          </w:p>
        </w:tc>
        <w:tc>
          <w:tcPr>
            <w:tcW w:w="1843" w:type="dxa"/>
            <w:tcBorders>
              <w:top w:val="single" w:color="auto" w:sz="4" w:space="0"/>
              <w:left w:val="nil"/>
              <w:bottom w:val="single" w:color="000000" w:sz="4" w:space="0"/>
              <w:right w:val="single" w:color="auto" w:sz="4" w:space="0"/>
            </w:tcBorders>
            <w:shd w:val="clear" w:color="000000" w:fill="FFFFFF"/>
            <w:vAlign w:val="center"/>
          </w:tcPr>
          <w:p w14:paraId="21512218">
            <w:pPr>
              <w:jc w:val="center"/>
              <w:rPr>
                <w:rFonts w:ascii="宋体" w:hAnsi="宋体" w:cs="宋体"/>
                <w:kern w:val="0"/>
                <w:sz w:val="20"/>
                <w:szCs w:val="20"/>
              </w:rPr>
            </w:pPr>
            <w:r>
              <w:rPr>
                <w:rFonts w:hint="eastAsia" w:ascii="宋体" w:hAnsi="宋体" w:cs="宋体"/>
                <w:kern w:val="0"/>
                <w:sz w:val="20"/>
                <w:szCs w:val="20"/>
              </w:rPr>
              <w:t>其中：</w:t>
            </w:r>
            <w:r>
              <w:rPr>
                <w:rFonts w:hint="eastAsia" w:ascii="宋体" w:hAnsi="宋体" w:cs="宋体"/>
                <w:kern w:val="0"/>
                <w:sz w:val="20"/>
                <w:szCs w:val="20"/>
              </w:rPr>
              <w:br w:type="textWrapping"/>
            </w:r>
            <w:r>
              <w:rPr>
                <w:rFonts w:hint="eastAsia" w:ascii="宋体" w:hAnsi="宋体" w:cs="宋体"/>
                <w:kern w:val="0"/>
                <w:sz w:val="20"/>
                <w:szCs w:val="20"/>
              </w:rPr>
              <w:t>材料设备暂估价</w:t>
            </w:r>
            <w:r>
              <w:rPr>
                <w:rFonts w:hint="eastAsia" w:ascii="宋体" w:hAnsi="宋体" w:cs="宋体"/>
                <w:kern w:val="0"/>
                <w:sz w:val="20"/>
                <w:szCs w:val="20"/>
              </w:rPr>
              <w:br w:type="textWrapping"/>
            </w:r>
            <w:r>
              <w:rPr>
                <w:rFonts w:hint="eastAsia" w:ascii="宋体" w:hAnsi="宋体" w:cs="宋体"/>
                <w:kern w:val="0"/>
                <w:sz w:val="20"/>
                <w:szCs w:val="20"/>
              </w:rPr>
              <w:t>(元)</w:t>
            </w:r>
          </w:p>
        </w:tc>
      </w:tr>
      <w:tr w14:paraId="237B1CD6">
        <w:tblPrEx>
          <w:tblCellMar>
            <w:top w:w="0" w:type="dxa"/>
            <w:left w:w="108" w:type="dxa"/>
            <w:bottom w:w="0" w:type="dxa"/>
            <w:right w:w="108" w:type="dxa"/>
          </w:tblCellMar>
        </w:tblPrEx>
        <w:trPr>
          <w:trHeight w:val="342"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263DFB6">
            <w:pPr>
              <w:jc w:val="center"/>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000000" w:fill="FFFFFF"/>
            <w:vAlign w:val="center"/>
          </w:tcPr>
          <w:p w14:paraId="3672F4D0">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62F6B4E3">
            <w:pPr>
              <w:jc w:val="right"/>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000000" w:fill="FFFFFF"/>
            <w:noWrap/>
            <w:vAlign w:val="center"/>
          </w:tcPr>
          <w:p w14:paraId="3869B0D6">
            <w:pPr>
              <w:jc w:val="right"/>
              <w:rPr>
                <w:rFonts w:ascii="宋体" w:hAnsi="宋体" w:cs="宋体"/>
                <w:kern w:val="0"/>
                <w:sz w:val="20"/>
                <w:szCs w:val="20"/>
              </w:rPr>
            </w:pPr>
          </w:p>
        </w:tc>
      </w:tr>
      <w:tr w14:paraId="05F045E8">
        <w:tblPrEx>
          <w:tblCellMar>
            <w:top w:w="0" w:type="dxa"/>
            <w:left w:w="108" w:type="dxa"/>
            <w:bottom w:w="0" w:type="dxa"/>
            <w:right w:w="108" w:type="dxa"/>
          </w:tblCellMar>
        </w:tblPrEx>
        <w:trPr>
          <w:trHeight w:val="342"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D78DDBD">
            <w:pPr>
              <w:jc w:val="center"/>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000000" w:fill="FFFFFF"/>
            <w:vAlign w:val="center"/>
          </w:tcPr>
          <w:p w14:paraId="033CAE3E">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3C30008E">
            <w:pPr>
              <w:jc w:val="right"/>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000000" w:fill="FFFFFF"/>
            <w:noWrap/>
            <w:vAlign w:val="center"/>
          </w:tcPr>
          <w:p w14:paraId="001C3CD9">
            <w:pPr>
              <w:jc w:val="right"/>
              <w:rPr>
                <w:rFonts w:ascii="宋体" w:hAnsi="宋体" w:cs="宋体"/>
                <w:kern w:val="0"/>
                <w:sz w:val="20"/>
                <w:szCs w:val="20"/>
              </w:rPr>
            </w:pPr>
          </w:p>
        </w:tc>
      </w:tr>
      <w:tr w14:paraId="0D0BDC06">
        <w:tblPrEx>
          <w:tblCellMar>
            <w:top w:w="0" w:type="dxa"/>
            <w:left w:w="108" w:type="dxa"/>
            <w:bottom w:w="0" w:type="dxa"/>
            <w:right w:w="108" w:type="dxa"/>
          </w:tblCellMar>
        </w:tblPrEx>
        <w:trPr>
          <w:trHeight w:val="342"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35F3026">
            <w:pPr>
              <w:jc w:val="center"/>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000000" w:fill="FFFFFF"/>
            <w:vAlign w:val="center"/>
          </w:tcPr>
          <w:p w14:paraId="643B3FDA">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04D05B1C">
            <w:pPr>
              <w:jc w:val="right"/>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000000" w:fill="FFFFFF"/>
            <w:noWrap/>
            <w:vAlign w:val="center"/>
          </w:tcPr>
          <w:p w14:paraId="743ACF7B">
            <w:pPr>
              <w:jc w:val="right"/>
              <w:rPr>
                <w:rFonts w:ascii="宋体" w:hAnsi="宋体" w:cs="宋体"/>
                <w:kern w:val="0"/>
                <w:sz w:val="20"/>
                <w:szCs w:val="20"/>
              </w:rPr>
            </w:pPr>
          </w:p>
        </w:tc>
      </w:tr>
      <w:tr w14:paraId="7F5A6518">
        <w:tblPrEx>
          <w:tblCellMar>
            <w:top w:w="0" w:type="dxa"/>
            <w:left w:w="108" w:type="dxa"/>
            <w:bottom w:w="0" w:type="dxa"/>
            <w:right w:w="108" w:type="dxa"/>
          </w:tblCellMar>
        </w:tblPrEx>
        <w:trPr>
          <w:trHeight w:val="342"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6E631FC">
            <w:pPr>
              <w:jc w:val="center"/>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000000" w:fill="FFFFFF"/>
            <w:vAlign w:val="center"/>
          </w:tcPr>
          <w:p w14:paraId="0D9C6940">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614C5C0E">
            <w:pPr>
              <w:jc w:val="right"/>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000000" w:fill="FFFFFF"/>
            <w:noWrap/>
            <w:vAlign w:val="center"/>
          </w:tcPr>
          <w:p w14:paraId="061268EC">
            <w:pPr>
              <w:jc w:val="right"/>
              <w:rPr>
                <w:rFonts w:ascii="宋体" w:hAnsi="宋体" w:cs="宋体"/>
                <w:kern w:val="0"/>
                <w:sz w:val="20"/>
                <w:szCs w:val="20"/>
              </w:rPr>
            </w:pPr>
          </w:p>
        </w:tc>
      </w:tr>
      <w:tr w14:paraId="103FF45A">
        <w:tblPrEx>
          <w:tblCellMar>
            <w:top w:w="0" w:type="dxa"/>
            <w:left w:w="108" w:type="dxa"/>
            <w:bottom w:w="0" w:type="dxa"/>
            <w:right w:w="108" w:type="dxa"/>
          </w:tblCellMar>
        </w:tblPrEx>
        <w:trPr>
          <w:trHeight w:val="342"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0805C7B">
            <w:pPr>
              <w:jc w:val="center"/>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000000" w:fill="FFFFFF"/>
            <w:vAlign w:val="center"/>
          </w:tcPr>
          <w:p w14:paraId="71C285D5">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19518D82">
            <w:pPr>
              <w:jc w:val="right"/>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000000" w:fill="FFFFFF"/>
            <w:noWrap/>
            <w:vAlign w:val="center"/>
          </w:tcPr>
          <w:p w14:paraId="6B7C11EF">
            <w:pPr>
              <w:jc w:val="right"/>
              <w:rPr>
                <w:rFonts w:ascii="宋体" w:hAnsi="宋体" w:cs="宋体"/>
                <w:kern w:val="0"/>
                <w:sz w:val="20"/>
                <w:szCs w:val="20"/>
              </w:rPr>
            </w:pPr>
          </w:p>
        </w:tc>
      </w:tr>
      <w:tr w14:paraId="2165FA68">
        <w:tblPrEx>
          <w:tblCellMar>
            <w:top w:w="0" w:type="dxa"/>
            <w:left w:w="108" w:type="dxa"/>
            <w:bottom w:w="0" w:type="dxa"/>
            <w:right w:w="108" w:type="dxa"/>
          </w:tblCellMar>
        </w:tblPrEx>
        <w:trPr>
          <w:trHeight w:val="342"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67D40D0">
            <w:pPr>
              <w:jc w:val="center"/>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000000" w:fill="FFFFFF"/>
            <w:vAlign w:val="center"/>
          </w:tcPr>
          <w:p w14:paraId="386D7A71">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3A7B58B4">
            <w:pPr>
              <w:jc w:val="right"/>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000000" w:fill="FFFFFF"/>
            <w:noWrap/>
            <w:vAlign w:val="center"/>
          </w:tcPr>
          <w:p w14:paraId="547780BA">
            <w:pPr>
              <w:jc w:val="right"/>
              <w:rPr>
                <w:rFonts w:ascii="宋体" w:hAnsi="宋体" w:cs="宋体"/>
                <w:kern w:val="0"/>
                <w:sz w:val="20"/>
                <w:szCs w:val="20"/>
              </w:rPr>
            </w:pPr>
          </w:p>
        </w:tc>
      </w:tr>
      <w:tr w14:paraId="48201DA8">
        <w:tblPrEx>
          <w:tblCellMar>
            <w:top w:w="0" w:type="dxa"/>
            <w:left w:w="108" w:type="dxa"/>
            <w:bottom w:w="0" w:type="dxa"/>
            <w:right w:w="108" w:type="dxa"/>
          </w:tblCellMar>
        </w:tblPrEx>
        <w:trPr>
          <w:trHeight w:val="342"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39FBAFE">
            <w:pPr>
              <w:jc w:val="center"/>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000000" w:fill="FFFFFF"/>
            <w:vAlign w:val="center"/>
          </w:tcPr>
          <w:p w14:paraId="18B9D8BD">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18EC24C7">
            <w:pPr>
              <w:jc w:val="right"/>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000000" w:fill="FFFFFF"/>
            <w:noWrap/>
            <w:vAlign w:val="center"/>
          </w:tcPr>
          <w:p w14:paraId="53D5B2F6">
            <w:pPr>
              <w:jc w:val="right"/>
              <w:rPr>
                <w:rFonts w:ascii="宋体" w:hAnsi="宋体" w:cs="宋体"/>
                <w:kern w:val="0"/>
                <w:sz w:val="20"/>
                <w:szCs w:val="20"/>
              </w:rPr>
            </w:pPr>
          </w:p>
        </w:tc>
      </w:tr>
      <w:tr w14:paraId="0B1AD2FE">
        <w:tblPrEx>
          <w:tblCellMar>
            <w:top w:w="0" w:type="dxa"/>
            <w:left w:w="108" w:type="dxa"/>
            <w:bottom w:w="0" w:type="dxa"/>
            <w:right w:w="108" w:type="dxa"/>
          </w:tblCellMar>
        </w:tblPrEx>
        <w:trPr>
          <w:trHeight w:val="357"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E3627F9">
            <w:pPr>
              <w:jc w:val="left"/>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auto" w:fill="auto"/>
            <w:noWrap/>
            <w:vAlign w:val="center"/>
          </w:tcPr>
          <w:p w14:paraId="763EF0BE">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7208F075">
            <w:pPr>
              <w:jc w:val="left"/>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14:paraId="52985964">
            <w:pPr>
              <w:jc w:val="left"/>
              <w:rPr>
                <w:rFonts w:ascii="宋体" w:hAnsi="宋体" w:cs="宋体"/>
                <w:kern w:val="0"/>
                <w:sz w:val="20"/>
                <w:szCs w:val="20"/>
              </w:rPr>
            </w:pPr>
          </w:p>
        </w:tc>
      </w:tr>
      <w:tr w14:paraId="7C7D726F">
        <w:tblPrEx>
          <w:tblCellMar>
            <w:top w:w="0" w:type="dxa"/>
            <w:left w:w="108" w:type="dxa"/>
            <w:bottom w:w="0" w:type="dxa"/>
            <w:right w:w="108" w:type="dxa"/>
          </w:tblCellMar>
        </w:tblPrEx>
        <w:trPr>
          <w:trHeight w:val="357"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0B901BB">
            <w:pPr>
              <w:jc w:val="left"/>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auto" w:fill="auto"/>
            <w:noWrap/>
            <w:vAlign w:val="center"/>
          </w:tcPr>
          <w:p w14:paraId="6257451E">
            <w:pPr>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62EFF51F">
            <w:pPr>
              <w:jc w:val="left"/>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14:paraId="69022C09">
            <w:pPr>
              <w:jc w:val="left"/>
              <w:rPr>
                <w:rFonts w:ascii="宋体" w:hAnsi="宋体" w:cs="宋体"/>
                <w:kern w:val="0"/>
                <w:sz w:val="20"/>
                <w:szCs w:val="20"/>
              </w:rPr>
            </w:pPr>
          </w:p>
        </w:tc>
      </w:tr>
      <w:tr w14:paraId="04B33581">
        <w:tblPrEx>
          <w:tblCellMar>
            <w:top w:w="0" w:type="dxa"/>
            <w:left w:w="108" w:type="dxa"/>
            <w:bottom w:w="0" w:type="dxa"/>
            <w:right w:w="108" w:type="dxa"/>
          </w:tblCellMar>
        </w:tblPrEx>
        <w:trPr>
          <w:trHeight w:val="342" w:hRule="atLeast"/>
        </w:trPr>
        <w:tc>
          <w:tcPr>
            <w:tcW w:w="483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12F566A">
            <w:pPr>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6392BBBC">
            <w:pPr>
              <w:jc w:val="right"/>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14:paraId="747BDAF8">
            <w:pPr>
              <w:jc w:val="left"/>
              <w:rPr>
                <w:rFonts w:ascii="宋体" w:hAnsi="宋体" w:cs="宋体"/>
                <w:kern w:val="0"/>
                <w:sz w:val="20"/>
                <w:szCs w:val="20"/>
              </w:rPr>
            </w:pPr>
          </w:p>
        </w:tc>
      </w:tr>
    </w:tbl>
    <w:p w14:paraId="173A0D07">
      <w:pPr>
        <w:pStyle w:val="4"/>
        <w:keepNext w:val="0"/>
        <w:keepLines w:val="0"/>
      </w:pPr>
      <w:r>
        <w:rPr>
          <w:rFonts w:hint="eastAsia"/>
        </w:rPr>
        <w:t>（四）</w:t>
      </w:r>
      <w:r>
        <w:rPr>
          <w:rFonts w:hint="eastAsia"/>
          <w:kern w:val="0"/>
        </w:rPr>
        <w:t>分部分项工程量清单与计价表</w:t>
      </w:r>
    </w:p>
    <w:tbl>
      <w:tblPr>
        <w:tblStyle w:val="55"/>
        <w:tblW w:w="8804" w:type="dxa"/>
        <w:tblInd w:w="93" w:type="dxa"/>
        <w:tblLayout w:type="fixed"/>
        <w:tblCellMar>
          <w:top w:w="0" w:type="dxa"/>
          <w:left w:w="108" w:type="dxa"/>
          <w:bottom w:w="0" w:type="dxa"/>
          <w:right w:w="108" w:type="dxa"/>
        </w:tblCellMar>
      </w:tblPr>
      <w:tblGrid>
        <w:gridCol w:w="824"/>
        <w:gridCol w:w="1176"/>
        <w:gridCol w:w="1701"/>
        <w:gridCol w:w="1559"/>
        <w:gridCol w:w="851"/>
        <w:gridCol w:w="708"/>
        <w:gridCol w:w="567"/>
        <w:gridCol w:w="426"/>
        <w:gridCol w:w="992"/>
      </w:tblGrid>
      <w:tr w14:paraId="5B46A23A">
        <w:tblPrEx>
          <w:tblCellMar>
            <w:top w:w="0" w:type="dxa"/>
            <w:left w:w="108" w:type="dxa"/>
            <w:bottom w:w="0" w:type="dxa"/>
            <w:right w:w="108" w:type="dxa"/>
          </w:tblCellMar>
        </w:tblPrEx>
        <w:trPr>
          <w:trHeight w:val="668" w:hRule="atLeast"/>
        </w:trPr>
        <w:tc>
          <w:tcPr>
            <w:tcW w:w="3701" w:type="dxa"/>
            <w:gridSpan w:val="3"/>
            <w:tcBorders>
              <w:top w:val="nil"/>
              <w:left w:val="nil"/>
              <w:bottom w:val="nil"/>
              <w:right w:val="nil"/>
            </w:tcBorders>
            <w:shd w:val="clear" w:color="auto" w:fill="auto"/>
            <w:vAlign w:val="bottom"/>
          </w:tcPr>
          <w:p w14:paraId="490D2453">
            <w:pPr>
              <w:jc w:val="left"/>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3118" w:type="dxa"/>
            <w:gridSpan w:val="3"/>
            <w:tcBorders>
              <w:top w:val="nil"/>
              <w:left w:val="nil"/>
              <w:bottom w:val="nil"/>
              <w:right w:val="nil"/>
            </w:tcBorders>
            <w:shd w:val="clear" w:color="auto" w:fill="auto"/>
            <w:vAlign w:val="bottom"/>
          </w:tcPr>
          <w:p w14:paraId="2CAB8537">
            <w:pPr>
              <w:jc w:val="left"/>
              <w:rPr>
                <w:rFonts w:ascii="宋体" w:hAnsi="宋体" w:cs="宋体"/>
                <w:kern w:val="0"/>
                <w:sz w:val="20"/>
                <w:szCs w:val="20"/>
              </w:rPr>
            </w:pPr>
            <w:r>
              <w:rPr>
                <w:rFonts w:hint="eastAsia" w:ascii="宋体" w:hAnsi="宋体" w:cs="宋体"/>
                <w:kern w:val="0"/>
                <w:sz w:val="20"/>
                <w:szCs w:val="20"/>
              </w:rPr>
              <w:t xml:space="preserve">      </w:t>
            </w:r>
          </w:p>
        </w:tc>
        <w:tc>
          <w:tcPr>
            <w:tcW w:w="1985" w:type="dxa"/>
            <w:gridSpan w:val="3"/>
            <w:tcBorders>
              <w:top w:val="nil"/>
              <w:left w:val="nil"/>
              <w:bottom w:val="nil"/>
              <w:right w:val="nil"/>
            </w:tcBorders>
            <w:shd w:val="clear" w:color="auto" w:fill="auto"/>
            <w:vAlign w:val="bottom"/>
          </w:tcPr>
          <w:p w14:paraId="4FF96AE1">
            <w:pPr>
              <w:jc w:val="right"/>
              <w:rPr>
                <w:rFonts w:ascii="宋体" w:hAnsi="宋体" w:cs="宋体"/>
                <w:kern w:val="0"/>
                <w:sz w:val="20"/>
                <w:szCs w:val="20"/>
              </w:rPr>
            </w:pPr>
            <w:r>
              <w:rPr>
                <w:rFonts w:hint="eastAsia" w:ascii="宋体" w:hAnsi="宋体" w:cs="宋体"/>
                <w:kern w:val="0"/>
                <w:sz w:val="20"/>
                <w:szCs w:val="20"/>
              </w:rPr>
              <w:t>第1页 共1页</w:t>
            </w:r>
          </w:p>
        </w:tc>
      </w:tr>
      <w:tr w14:paraId="2A431B0F">
        <w:tblPrEx>
          <w:tblCellMar>
            <w:top w:w="0" w:type="dxa"/>
            <w:left w:w="108" w:type="dxa"/>
            <w:bottom w:w="0" w:type="dxa"/>
            <w:right w:w="108" w:type="dxa"/>
          </w:tblCellMar>
        </w:tblPrEx>
        <w:trPr>
          <w:trHeight w:val="372" w:hRule="atLeast"/>
        </w:trPr>
        <w:tc>
          <w:tcPr>
            <w:tcW w:w="824"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14:paraId="70EFC9E9">
            <w:pPr>
              <w:jc w:val="center"/>
              <w:rPr>
                <w:rFonts w:ascii="宋体" w:hAnsi="宋体" w:cs="宋体"/>
                <w:kern w:val="0"/>
                <w:sz w:val="20"/>
                <w:szCs w:val="20"/>
              </w:rPr>
            </w:pPr>
            <w:r>
              <w:rPr>
                <w:rFonts w:hint="eastAsia" w:ascii="宋体" w:hAnsi="宋体" w:cs="宋体"/>
                <w:kern w:val="0"/>
                <w:sz w:val="20"/>
                <w:szCs w:val="20"/>
              </w:rPr>
              <w:t>序号</w:t>
            </w:r>
          </w:p>
        </w:tc>
        <w:tc>
          <w:tcPr>
            <w:tcW w:w="1176"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194FE921">
            <w:pPr>
              <w:jc w:val="center"/>
              <w:rPr>
                <w:rFonts w:ascii="宋体" w:hAnsi="宋体" w:cs="宋体"/>
                <w:kern w:val="0"/>
                <w:sz w:val="20"/>
                <w:szCs w:val="20"/>
              </w:rPr>
            </w:pPr>
            <w:r>
              <w:rPr>
                <w:rFonts w:hint="eastAsia" w:ascii="宋体" w:hAnsi="宋体" w:cs="宋体"/>
                <w:kern w:val="0"/>
                <w:sz w:val="20"/>
                <w:szCs w:val="20"/>
              </w:rPr>
              <w:t>项目编码</w:t>
            </w:r>
          </w:p>
        </w:tc>
        <w:tc>
          <w:tcPr>
            <w:tcW w:w="1701"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6583BBB4">
            <w:pPr>
              <w:jc w:val="center"/>
              <w:rPr>
                <w:rFonts w:ascii="宋体" w:hAnsi="宋体" w:cs="宋体"/>
                <w:kern w:val="0"/>
                <w:sz w:val="20"/>
                <w:szCs w:val="20"/>
              </w:rPr>
            </w:pPr>
            <w:r>
              <w:rPr>
                <w:rFonts w:hint="eastAsia" w:ascii="宋体" w:hAnsi="宋体" w:cs="宋体"/>
                <w:kern w:val="0"/>
                <w:sz w:val="20"/>
                <w:szCs w:val="20"/>
              </w:rPr>
              <w:t>项目名称</w:t>
            </w:r>
          </w:p>
        </w:tc>
        <w:tc>
          <w:tcPr>
            <w:tcW w:w="1559"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6CFE2262">
            <w:pPr>
              <w:jc w:val="center"/>
              <w:rPr>
                <w:rFonts w:ascii="宋体" w:hAnsi="宋体" w:cs="宋体"/>
                <w:kern w:val="0"/>
                <w:sz w:val="18"/>
                <w:szCs w:val="18"/>
              </w:rPr>
            </w:pPr>
            <w:r>
              <w:rPr>
                <w:rFonts w:hint="eastAsia" w:ascii="宋体" w:hAnsi="宋体" w:cs="宋体"/>
                <w:kern w:val="0"/>
                <w:sz w:val="18"/>
                <w:szCs w:val="18"/>
              </w:rPr>
              <w:t>项目特征描述</w:t>
            </w:r>
          </w:p>
        </w:tc>
        <w:tc>
          <w:tcPr>
            <w:tcW w:w="851"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0E1D30EA">
            <w:pPr>
              <w:jc w:val="center"/>
              <w:rPr>
                <w:rFonts w:ascii="宋体" w:hAnsi="宋体" w:cs="宋体"/>
                <w:kern w:val="0"/>
                <w:sz w:val="20"/>
                <w:szCs w:val="20"/>
              </w:rPr>
            </w:pPr>
            <w:r>
              <w:rPr>
                <w:rFonts w:hint="eastAsia" w:ascii="宋体" w:hAnsi="宋体" w:cs="宋体"/>
                <w:kern w:val="0"/>
                <w:sz w:val="20"/>
                <w:szCs w:val="20"/>
              </w:rPr>
              <w:t>计量</w:t>
            </w:r>
            <w:r>
              <w:rPr>
                <w:rFonts w:hint="eastAsia" w:ascii="宋体" w:hAnsi="宋体" w:cs="宋体"/>
                <w:kern w:val="0"/>
                <w:sz w:val="20"/>
                <w:szCs w:val="20"/>
              </w:rPr>
              <w:br w:type="textWrapping"/>
            </w:r>
            <w:r>
              <w:rPr>
                <w:rFonts w:hint="eastAsia" w:ascii="宋体" w:hAnsi="宋体" w:cs="宋体"/>
                <w:kern w:val="0"/>
                <w:sz w:val="20"/>
                <w:szCs w:val="20"/>
              </w:rPr>
              <w:t>单位</w:t>
            </w:r>
          </w:p>
        </w:tc>
        <w:tc>
          <w:tcPr>
            <w:tcW w:w="708"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12047878">
            <w:pPr>
              <w:jc w:val="center"/>
              <w:rPr>
                <w:rFonts w:ascii="宋体" w:hAnsi="宋体" w:cs="宋体"/>
                <w:kern w:val="0"/>
                <w:sz w:val="20"/>
                <w:szCs w:val="20"/>
              </w:rPr>
            </w:pPr>
            <w:r>
              <w:rPr>
                <w:rFonts w:hint="eastAsia" w:ascii="宋体" w:hAnsi="宋体" w:cs="宋体"/>
                <w:kern w:val="0"/>
                <w:sz w:val="20"/>
                <w:szCs w:val="20"/>
              </w:rPr>
              <w:t>工程量</w:t>
            </w:r>
          </w:p>
        </w:tc>
        <w:tc>
          <w:tcPr>
            <w:tcW w:w="1985" w:type="dxa"/>
            <w:gridSpan w:val="3"/>
            <w:tcBorders>
              <w:top w:val="single" w:color="auto" w:sz="4" w:space="0"/>
              <w:left w:val="nil"/>
              <w:bottom w:val="single" w:color="000000" w:sz="4" w:space="0"/>
              <w:right w:val="single" w:color="000000" w:sz="4" w:space="0"/>
            </w:tcBorders>
            <w:shd w:val="clear" w:color="000000" w:fill="FFFFFF"/>
            <w:noWrap/>
            <w:vAlign w:val="center"/>
          </w:tcPr>
          <w:p w14:paraId="0E85FC99">
            <w:pPr>
              <w:jc w:val="center"/>
              <w:rPr>
                <w:rFonts w:ascii="宋体" w:hAnsi="宋体" w:cs="宋体"/>
                <w:kern w:val="0"/>
                <w:sz w:val="20"/>
                <w:szCs w:val="20"/>
              </w:rPr>
            </w:pPr>
            <w:r>
              <w:rPr>
                <w:rFonts w:hint="eastAsia" w:ascii="宋体" w:hAnsi="宋体" w:cs="宋体"/>
                <w:kern w:val="0"/>
                <w:sz w:val="20"/>
                <w:szCs w:val="20"/>
              </w:rPr>
              <w:t>金额(元)</w:t>
            </w:r>
          </w:p>
        </w:tc>
      </w:tr>
      <w:tr w14:paraId="333D090F">
        <w:tblPrEx>
          <w:tblCellMar>
            <w:top w:w="0" w:type="dxa"/>
            <w:left w:w="108" w:type="dxa"/>
            <w:bottom w:w="0" w:type="dxa"/>
            <w:right w:w="108" w:type="dxa"/>
          </w:tblCellMar>
        </w:tblPrEx>
        <w:trPr>
          <w:trHeight w:val="668" w:hRule="atLeast"/>
        </w:trPr>
        <w:tc>
          <w:tcPr>
            <w:tcW w:w="82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D445BBB">
            <w:pPr>
              <w:jc w:val="left"/>
              <w:rPr>
                <w:rFonts w:ascii="宋体" w:hAnsi="宋体" w:cs="宋体"/>
                <w:kern w:val="0"/>
                <w:sz w:val="20"/>
                <w:szCs w:val="20"/>
              </w:rPr>
            </w:pPr>
          </w:p>
        </w:tc>
        <w:tc>
          <w:tcPr>
            <w:tcW w:w="117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F743982">
            <w:pPr>
              <w:jc w:val="left"/>
              <w:rPr>
                <w:rFonts w:ascii="宋体" w:hAnsi="宋体" w:cs="宋体"/>
                <w:kern w:val="0"/>
                <w:sz w:val="20"/>
                <w:szCs w:val="20"/>
              </w:rPr>
            </w:pPr>
          </w:p>
        </w:tc>
        <w:tc>
          <w:tcPr>
            <w:tcW w:w="170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2E58252">
            <w:pPr>
              <w:jc w:val="left"/>
              <w:rPr>
                <w:rFonts w:ascii="宋体" w:hAnsi="宋体" w:cs="宋体"/>
                <w:kern w:val="0"/>
                <w:sz w:val="20"/>
                <w:szCs w:val="20"/>
              </w:rPr>
            </w:pPr>
          </w:p>
        </w:tc>
        <w:tc>
          <w:tcPr>
            <w:tcW w:w="155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DBFABE9">
            <w:pPr>
              <w:jc w:val="left"/>
              <w:rPr>
                <w:rFonts w:ascii="宋体" w:hAnsi="宋体" w:cs="宋体"/>
                <w:kern w:val="0"/>
                <w:sz w:val="18"/>
                <w:szCs w:val="18"/>
              </w:rPr>
            </w:pPr>
          </w:p>
        </w:tc>
        <w:tc>
          <w:tcPr>
            <w:tcW w:w="85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7D891BA">
            <w:pPr>
              <w:jc w:val="left"/>
              <w:rPr>
                <w:rFonts w:ascii="宋体" w:hAnsi="宋体" w:cs="宋体"/>
                <w:kern w:val="0"/>
                <w:sz w:val="20"/>
                <w:szCs w:val="20"/>
              </w:rPr>
            </w:pPr>
          </w:p>
        </w:tc>
        <w:tc>
          <w:tcPr>
            <w:tcW w:w="70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73086BC">
            <w:pPr>
              <w:jc w:val="left"/>
              <w:rPr>
                <w:rFonts w:ascii="宋体" w:hAnsi="宋体" w:cs="宋体"/>
                <w:kern w:val="0"/>
                <w:sz w:val="20"/>
                <w:szCs w:val="20"/>
              </w:rPr>
            </w:pPr>
          </w:p>
        </w:tc>
        <w:tc>
          <w:tcPr>
            <w:tcW w:w="567" w:type="dxa"/>
            <w:tcBorders>
              <w:top w:val="nil"/>
              <w:left w:val="nil"/>
              <w:bottom w:val="single" w:color="000000" w:sz="4" w:space="0"/>
              <w:right w:val="single" w:color="000000" w:sz="4" w:space="0"/>
            </w:tcBorders>
            <w:shd w:val="clear" w:color="000000" w:fill="FFFFFF"/>
            <w:noWrap/>
            <w:vAlign w:val="center"/>
          </w:tcPr>
          <w:p w14:paraId="626AD848">
            <w:pPr>
              <w:jc w:val="center"/>
              <w:rPr>
                <w:rFonts w:ascii="宋体" w:hAnsi="宋体" w:cs="宋体"/>
                <w:kern w:val="0"/>
                <w:sz w:val="20"/>
                <w:szCs w:val="20"/>
              </w:rPr>
            </w:pPr>
            <w:r>
              <w:rPr>
                <w:rFonts w:hint="eastAsia" w:ascii="宋体" w:hAnsi="宋体" w:cs="宋体"/>
                <w:kern w:val="0"/>
                <w:sz w:val="20"/>
                <w:szCs w:val="20"/>
              </w:rPr>
              <w:t>综合</w:t>
            </w:r>
            <w:r>
              <w:rPr>
                <w:rFonts w:hint="eastAsia" w:ascii="宋体" w:hAnsi="宋体" w:cs="宋体"/>
                <w:kern w:val="0"/>
                <w:sz w:val="20"/>
                <w:szCs w:val="20"/>
              </w:rPr>
              <w:br w:type="textWrapping"/>
            </w:r>
            <w:r>
              <w:rPr>
                <w:rFonts w:hint="eastAsia" w:ascii="宋体" w:hAnsi="宋体" w:cs="宋体"/>
                <w:kern w:val="0"/>
                <w:sz w:val="20"/>
                <w:szCs w:val="20"/>
              </w:rPr>
              <w:t>单价</w:t>
            </w:r>
          </w:p>
        </w:tc>
        <w:tc>
          <w:tcPr>
            <w:tcW w:w="426" w:type="dxa"/>
            <w:tcBorders>
              <w:top w:val="nil"/>
              <w:left w:val="nil"/>
              <w:bottom w:val="single" w:color="000000" w:sz="4" w:space="0"/>
              <w:right w:val="single" w:color="000000" w:sz="4" w:space="0"/>
            </w:tcBorders>
            <w:shd w:val="clear" w:color="000000" w:fill="FFFFFF"/>
            <w:noWrap/>
            <w:vAlign w:val="center"/>
          </w:tcPr>
          <w:p w14:paraId="5712AA45">
            <w:pPr>
              <w:jc w:val="center"/>
              <w:rPr>
                <w:rFonts w:ascii="宋体" w:hAnsi="宋体" w:cs="宋体"/>
                <w:kern w:val="0"/>
                <w:sz w:val="20"/>
                <w:szCs w:val="20"/>
              </w:rPr>
            </w:pPr>
            <w:r>
              <w:rPr>
                <w:rFonts w:hint="eastAsia" w:ascii="宋体" w:hAnsi="宋体" w:cs="宋体"/>
                <w:kern w:val="0"/>
                <w:sz w:val="20"/>
                <w:szCs w:val="20"/>
              </w:rPr>
              <w:t>合价</w:t>
            </w:r>
          </w:p>
        </w:tc>
        <w:tc>
          <w:tcPr>
            <w:tcW w:w="992" w:type="dxa"/>
            <w:tcBorders>
              <w:top w:val="nil"/>
              <w:left w:val="nil"/>
              <w:bottom w:val="single" w:color="000000" w:sz="4" w:space="0"/>
              <w:right w:val="single" w:color="auto" w:sz="4" w:space="0"/>
            </w:tcBorders>
            <w:shd w:val="clear" w:color="000000" w:fill="FFFFFF"/>
            <w:vAlign w:val="center"/>
          </w:tcPr>
          <w:p w14:paraId="1091CC01">
            <w:pPr>
              <w:jc w:val="center"/>
              <w:rPr>
                <w:rFonts w:ascii="宋体" w:hAnsi="宋体" w:cs="宋体"/>
                <w:kern w:val="0"/>
                <w:sz w:val="20"/>
                <w:szCs w:val="20"/>
              </w:rPr>
            </w:pPr>
            <w:r>
              <w:rPr>
                <w:rFonts w:hint="eastAsia" w:ascii="宋体" w:hAnsi="宋体" w:cs="宋体"/>
                <w:kern w:val="0"/>
                <w:sz w:val="20"/>
                <w:szCs w:val="20"/>
              </w:rPr>
              <w:t>材料设备</w:t>
            </w:r>
            <w:r>
              <w:rPr>
                <w:rFonts w:hint="eastAsia" w:ascii="宋体" w:hAnsi="宋体" w:cs="宋体"/>
                <w:kern w:val="0"/>
                <w:sz w:val="20"/>
                <w:szCs w:val="20"/>
              </w:rPr>
              <w:br w:type="textWrapping"/>
            </w:r>
            <w:r>
              <w:rPr>
                <w:rFonts w:hint="eastAsia" w:ascii="宋体" w:hAnsi="宋体" w:cs="宋体"/>
                <w:kern w:val="0"/>
                <w:sz w:val="20"/>
                <w:szCs w:val="20"/>
              </w:rPr>
              <w:t>暂估合价</w:t>
            </w:r>
          </w:p>
        </w:tc>
      </w:tr>
      <w:tr w14:paraId="49D9EF1E">
        <w:tblPrEx>
          <w:tblCellMar>
            <w:top w:w="0" w:type="dxa"/>
            <w:left w:w="108" w:type="dxa"/>
            <w:bottom w:w="0" w:type="dxa"/>
            <w:right w:w="108" w:type="dxa"/>
          </w:tblCellMar>
        </w:tblPrEx>
        <w:trPr>
          <w:trHeight w:val="372" w:hRule="atLeast"/>
        </w:trPr>
        <w:tc>
          <w:tcPr>
            <w:tcW w:w="824" w:type="dxa"/>
            <w:tcBorders>
              <w:top w:val="nil"/>
              <w:left w:val="single" w:color="auto" w:sz="4" w:space="0"/>
              <w:bottom w:val="single" w:color="auto" w:sz="4" w:space="0"/>
              <w:right w:val="single" w:color="auto" w:sz="4" w:space="0"/>
            </w:tcBorders>
            <w:shd w:val="clear" w:color="000000" w:fill="FFFFFF"/>
            <w:noWrap/>
            <w:vAlign w:val="center"/>
          </w:tcPr>
          <w:p w14:paraId="73E60B17">
            <w:pPr>
              <w:jc w:val="center"/>
              <w:rPr>
                <w:rFonts w:ascii="宋体" w:hAnsi="宋体" w:cs="宋体"/>
                <w:kern w:val="0"/>
                <w:sz w:val="18"/>
                <w:szCs w:val="18"/>
              </w:rPr>
            </w:pPr>
          </w:p>
        </w:tc>
        <w:tc>
          <w:tcPr>
            <w:tcW w:w="1176" w:type="dxa"/>
            <w:tcBorders>
              <w:top w:val="nil"/>
              <w:left w:val="nil"/>
              <w:bottom w:val="single" w:color="auto" w:sz="4" w:space="0"/>
              <w:right w:val="single" w:color="auto" w:sz="4" w:space="0"/>
            </w:tcBorders>
            <w:shd w:val="clear" w:color="000000" w:fill="FFFFFF"/>
            <w:noWrap/>
            <w:vAlign w:val="center"/>
          </w:tcPr>
          <w:p w14:paraId="77D64618">
            <w:pPr>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158A76C6">
            <w:pPr>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0B448721">
            <w:pPr>
              <w:jc w:val="left"/>
              <w:rPr>
                <w:rFonts w:ascii="宋体" w:hAnsi="宋体" w:cs="宋体"/>
                <w:kern w:val="0"/>
                <w:sz w:val="18"/>
                <w:szCs w:val="18"/>
              </w:rPr>
            </w:pPr>
          </w:p>
        </w:tc>
        <w:tc>
          <w:tcPr>
            <w:tcW w:w="851" w:type="dxa"/>
            <w:tcBorders>
              <w:top w:val="nil"/>
              <w:left w:val="nil"/>
              <w:bottom w:val="single" w:color="auto" w:sz="4" w:space="0"/>
              <w:right w:val="single" w:color="auto" w:sz="4" w:space="0"/>
            </w:tcBorders>
            <w:shd w:val="clear" w:color="000000" w:fill="FFFFFF"/>
            <w:vAlign w:val="center"/>
          </w:tcPr>
          <w:p w14:paraId="562C383B">
            <w:pPr>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14:paraId="0301E399">
            <w:pPr>
              <w:jc w:val="right"/>
              <w:rPr>
                <w:rFonts w:ascii="宋体" w:hAnsi="宋体" w:cs="宋体"/>
                <w:kern w:val="0"/>
                <w:sz w:val="18"/>
                <w:szCs w:val="18"/>
              </w:rPr>
            </w:pPr>
          </w:p>
        </w:tc>
        <w:tc>
          <w:tcPr>
            <w:tcW w:w="567" w:type="dxa"/>
            <w:tcBorders>
              <w:top w:val="nil"/>
              <w:left w:val="nil"/>
              <w:bottom w:val="single" w:color="auto" w:sz="4" w:space="0"/>
              <w:right w:val="single" w:color="auto" w:sz="4" w:space="0"/>
            </w:tcBorders>
            <w:shd w:val="clear" w:color="000000" w:fill="FFFFFF"/>
            <w:noWrap/>
            <w:vAlign w:val="center"/>
          </w:tcPr>
          <w:p w14:paraId="369DAA4F">
            <w:pPr>
              <w:jc w:val="right"/>
              <w:rPr>
                <w:rFonts w:ascii="宋体" w:hAnsi="宋体" w:cs="宋体"/>
                <w:kern w:val="0"/>
                <w:sz w:val="18"/>
                <w:szCs w:val="18"/>
              </w:rPr>
            </w:pPr>
          </w:p>
        </w:tc>
        <w:tc>
          <w:tcPr>
            <w:tcW w:w="426" w:type="dxa"/>
            <w:tcBorders>
              <w:top w:val="nil"/>
              <w:left w:val="nil"/>
              <w:bottom w:val="single" w:color="auto" w:sz="4" w:space="0"/>
              <w:right w:val="single" w:color="auto" w:sz="4" w:space="0"/>
            </w:tcBorders>
            <w:shd w:val="clear" w:color="000000" w:fill="FFFFFF"/>
            <w:noWrap/>
            <w:vAlign w:val="center"/>
          </w:tcPr>
          <w:p w14:paraId="56715381">
            <w:pPr>
              <w:jc w:val="right"/>
              <w:rPr>
                <w:rFonts w:ascii="宋体" w:hAnsi="宋体" w:cs="宋体"/>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14:paraId="6E33BEE1">
            <w:pPr>
              <w:jc w:val="right"/>
              <w:rPr>
                <w:rFonts w:ascii="宋体" w:hAnsi="宋体" w:cs="宋体"/>
                <w:kern w:val="0"/>
                <w:sz w:val="18"/>
                <w:szCs w:val="18"/>
              </w:rPr>
            </w:pPr>
          </w:p>
        </w:tc>
      </w:tr>
      <w:tr w14:paraId="32A8D5C8">
        <w:tblPrEx>
          <w:tblCellMar>
            <w:top w:w="0" w:type="dxa"/>
            <w:left w:w="108" w:type="dxa"/>
            <w:bottom w:w="0" w:type="dxa"/>
            <w:right w:w="108" w:type="dxa"/>
          </w:tblCellMar>
        </w:tblPrEx>
        <w:trPr>
          <w:trHeight w:val="372" w:hRule="atLeast"/>
        </w:trPr>
        <w:tc>
          <w:tcPr>
            <w:tcW w:w="824" w:type="dxa"/>
            <w:tcBorders>
              <w:top w:val="nil"/>
              <w:left w:val="single" w:color="auto" w:sz="4" w:space="0"/>
              <w:bottom w:val="single" w:color="auto" w:sz="4" w:space="0"/>
              <w:right w:val="single" w:color="auto" w:sz="4" w:space="0"/>
            </w:tcBorders>
            <w:shd w:val="clear" w:color="auto" w:fill="auto"/>
            <w:vAlign w:val="center"/>
          </w:tcPr>
          <w:p w14:paraId="45281151">
            <w:pPr>
              <w:jc w:val="center"/>
              <w:rPr>
                <w:rFonts w:ascii="宋体" w:hAnsi="宋体" w:cs="宋体"/>
                <w:kern w:val="0"/>
                <w:sz w:val="18"/>
                <w:szCs w:val="18"/>
              </w:rPr>
            </w:pPr>
          </w:p>
        </w:tc>
        <w:tc>
          <w:tcPr>
            <w:tcW w:w="1176" w:type="dxa"/>
            <w:tcBorders>
              <w:top w:val="nil"/>
              <w:left w:val="nil"/>
              <w:bottom w:val="single" w:color="auto" w:sz="4" w:space="0"/>
              <w:right w:val="single" w:color="auto" w:sz="4" w:space="0"/>
            </w:tcBorders>
            <w:shd w:val="clear" w:color="auto" w:fill="auto"/>
            <w:vAlign w:val="center"/>
          </w:tcPr>
          <w:p w14:paraId="37B21530">
            <w:pPr>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06D51D1F">
            <w:pPr>
              <w:jc w:val="center"/>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3F55A22F">
            <w:pPr>
              <w:jc w:val="left"/>
              <w:rPr>
                <w:rFonts w:ascii="宋体" w:hAnsi="宋体" w:cs="宋体"/>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14:paraId="508217F8">
            <w:pPr>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shd w:val="clear" w:color="auto" w:fill="auto"/>
            <w:noWrap/>
            <w:vAlign w:val="center"/>
          </w:tcPr>
          <w:p w14:paraId="3A837C5A">
            <w:pPr>
              <w:jc w:val="right"/>
              <w:rPr>
                <w:rFonts w:ascii="宋体" w:hAnsi="宋体" w:cs="宋体"/>
                <w:kern w:val="0"/>
                <w:sz w:val="18"/>
                <w:szCs w:val="18"/>
              </w:rPr>
            </w:pPr>
          </w:p>
        </w:tc>
        <w:tc>
          <w:tcPr>
            <w:tcW w:w="567" w:type="dxa"/>
            <w:tcBorders>
              <w:top w:val="nil"/>
              <w:left w:val="nil"/>
              <w:bottom w:val="single" w:color="auto" w:sz="4" w:space="0"/>
              <w:right w:val="single" w:color="auto" w:sz="4" w:space="0"/>
            </w:tcBorders>
            <w:shd w:val="clear" w:color="auto" w:fill="auto"/>
            <w:noWrap/>
            <w:vAlign w:val="center"/>
          </w:tcPr>
          <w:p w14:paraId="2964BB42">
            <w:pPr>
              <w:jc w:val="right"/>
              <w:rPr>
                <w:rFonts w:ascii="宋体" w:hAnsi="宋体" w:cs="宋体"/>
                <w:kern w:val="0"/>
                <w:sz w:val="18"/>
                <w:szCs w:val="18"/>
              </w:rPr>
            </w:pPr>
          </w:p>
        </w:tc>
        <w:tc>
          <w:tcPr>
            <w:tcW w:w="426" w:type="dxa"/>
            <w:tcBorders>
              <w:top w:val="nil"/>
              <w:left w:val="nil"/>
              <w:bottom w:val="single" w:color="auto" w:sz="4" w:space="0"/>
              <w:right w:val="single" w:color="auto" w:sz="4" w:space="0"/>
            </w:tcBorders>
            <w:shd w:val="clear" w:color="auto" w:fill="auto"/>
            <w:noWrap/>
            <w:vAlign w:val="center"/>
          </w:tcPr>
          <w:p w14:paraId="512E907A">
            <w:pPr>
              <w:jc w:val="right"/>
              <w:rPr>
                <w:rFonts w:ascii="宋体" w:hAnsi="宋体" w:cs="宋体"/>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14:paraId="770705D0">
            <w:pPr>
              <w:jc w:val="right"/>
              <w:rPr>
                <w:rFonts w:ascii="宋体" w:hAnsi="宋体" w:cs="宋体"/>
                <w:kern w:val="0"/>
                <w:sz w:val="18"/>
                <w:szCs w:val="18"/>
              </w:rPr>
            </w:pPr>
          </w:p>
        </w:tc>
      </w:tr>
      <w:tr w14:paraId="745966E0">
        <w:tblPrEx>
          <w:tblCellMar>
            <w:top w:w="0" w:type="dxa"/>
            <w:left w:w="108" w:type="dxa"/>
            <w:bottom w:w="0" w:type="dxa"/>
            <w:right w:w="108" w:type="dxa"/>
          </w:tblCellMar>
        </w:tblPrEx>
        <w:trPr>
          <w:trHeight w:val="342" w:hRule="atLeast"/>
        </w:trPr>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9AD8B">
            <w:pPr>
              <w:jc w:val="left"/>
              <w:rPr>
                <w:rFonts w:ascii="宋体" w:hAnsi="宋体" w:cs="宋体"/>
                <w:kern w:val="0"/>
                <w:sz w:val="20"/>
                <w:szCs w:val="20"/>
              </w:rPr>
            </w:pPr>
          </w:p>
        </w:tc>
        <w:tc>
          <w:tcPr>
            <w:tcW w:w="1176" w:type="dxa"/>
            <w:tcBorders>
              <w:top w:val="single" w:color="auto" w:sz="4" w:space="0"/>
              <w:left w:val="nil"/>
              <w:bottom w:val="single" w:color="auto" w:sz="4" w:space="0"/>
              <w:right w:val="single" w:color="auto" w:sz="4" w:space="0"/>
            </w:tcBorders>
            <w:shd w:val="clear" w:color="auto" w:fill="auto"/>
            <w:noWrap/>
            <w:vAlign w:val="center"/>
          </w:tcPr>
          <w:p w14:paraId="127A322B">
            <w:pPr>
              <w:jc w:val="left"/>
              <w:rPr>
                <w:rFonts w:ascii="宋体" w:hAnsi="宋体" w:cs="宋体"/>
                <w:kern w:val="0"/>
                <w:sz w:val="20"/>
                <w:szCs w:val="20"/>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3ADCAD0">
            <w:pPr>
              <w:jc w:val="left"/>
              <w:rPr>
                <w:rFonts w:ascii="宋体" w:hAnsi="宋体" w:cs="宋体"/>
                <w:kern w:val="0"/>
                <w:sz w:val="20"/>
                <w:szCs w:val="20"/>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1E36951">
            <w:pPr>
              <w:jc w:val="left"/>
              <w:rPr>
                <w:rFonts w:ascii="宋体" w:hAnsi="宋体" w:cs="宋体"/>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1D1160D1">
            <w:pPr>
              <w:jc w:val="left"/>
              <w:rPr>
                <w:rFonts w:ascii="宋体" w:hAnsi="宋体" w:cs="宋体"/>
                <w:kern w:val="0"/>
                <w:sz w:val="20"/>
                <w:szCs w:val="20"/>
              </w:rPr>
            </w:pP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456D5390">
            <w:pPr>
              <w:jc w:val="left"/>
              <w:rPr>
                <w:rFonts w:ascii="宋体" w:hAnsi="宋体" w:cs="宋体"/>
                <w:kern w:val="0"/>
                <w:sz w:val="20"/>
                <w:szCs w:val="20"/>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A57B967">
            <w:pPr>
              <w:jc w:val="left"/>
              <w:rPr>
                <w:rFonts w:ascii="宋体" w:hAnsi="宋体" w:cs="宋体"/>
                <w:kern w:val="0"/>
                <w:sz w:val="20"/>
                <w:szCs w:val="20"/>
              </w:rPr>
            </w:pPr>
          </w:p>
        </w:tc>
        <w:tc>
          <w:tcPr>
            <w:tcW w:w="426" w:type="dxa"/>
            <w:tcBorders>
              <w:top w:val="single" w:color="auto" w:sz="4" w:space="0"/>
              <w:left w:val="nil"/>
              <w:bottom w:val="single" w:color="auto" w:sz="4" w:space="0"/>
              <w:right w:val="single" w:color="auto" w:sz="4" w:space="0"/>
            </w:tcBorders>
            <w:shd w:val="clear" w:color="auto" w:fill="auto"/>
            <w:noWrap/>
            <w:vAlign w:val="center"/>
          </w:tcPr>
          <w:p w14:paraId="485E2F65">
            <w:pPr>
              <w:jc w:val="left"/>
              <w:rPr>
                <w:rFonts w:ascii="宋体" w:hAnsi="宋体" w:cs="宋体"/>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096C5AD">
            <w:pPr>
              <w:jc w:val="left"/>
              <w:rPr>
                <w:rFonts w:ascii="宋体" w:hAnsi="宋体" w:cs="宋体"/>
                <w:kern w:val="0"/>
                <w:sz w:val="20"/>
                <w:szCs w:val="20"/>
              </w:rPr>
            </w:pPr>
          </w:p>
        </w:tc>
      </w:tr>
      <w:tr w14:paraId="2C2BC696">
        <w:tblPrEx>
          <w:tblCellMar>
            <w:top w:w="0" w:type="dxa"/>
            <w:left w:w="108" w:type="dxa"/>
            <w:bottom w:w="0" w:type="dxa"/>
            <w:right w:w="108" w:type="dxa"/>
          </w:tblCellMar>
        </w:tblPrEx>
        <w:trPr>
          <w:trHeight w:val="34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14:paraId="20D60C7E">
            <w:pPr>
              <w:jc w:val="left"/>
              <w:rPr>
                <w:rFonts w:ascii="宋体" w:hAnsi="宋体" w:cs="宋体"/>
                <w:kern w:val="0"/>
                <w:sz w:val="20"/>
                <w:szCs w:val="20"/>
              </w:rPr>
            </w:pPr>
          </w:p>
        </w:tc>
        <w:tc>
          <w:tcPr>
            <w:tcW w:w="1176" w:type="dxa"/>
            <w:tcBorders>
              <w:top w:val="nil"/>
              <w:left w:val="nil"/>
              <w:bottom w:val="single" w:color="auto" w:sz="4" w:space="0"/>
              <w:right w:val="single" w:color="auto" w:sz="4" w:space="0"/>
            </w:tcBorders>
            <w:shd w:val="clear" w:color="auto" w:fill="auto"/>
            <w:noWrap/>
            <w:vAlign w:val="center"/>
          </w:tcPr>
          <w:p w14:paraId="0B7EE511">
            <w:pPr>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0E0A596B">
            <w:pPr>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625C4F4E">
            <w:pPr>
              <w:jc w:val="left"/>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4BE6EC67">
            <w:pPr>
              <w:jc w:val="left"/>
              <w:rPr>
                <w:rFonts w:ascii="宋体" w:hAnsi="宋体" w:cs="宋体"/>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14:paraId="1C46FF58">
            <w:pPr>
              <w:jc w:val="left"/>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759A9D78">
            <w:pPr>
              <w:jc w:val="left"/>
              <w:rPr>
                <w:rFonts w:ascii="宋体" w:hAnsi="宋体" w:cs="宋体"/>
                <w:kern w:val="0"/>
                <w:sz w:val="20"/>
                <w:szCs w:val="20"/>
              </w:rPr>
            </w:pPr>
          </w:p>
        </w:tc>
        <w:tc>
          <w:tcPr>
            <w:tcW w:w="426" w:type="dxa"/>
            <w:tcBorders>
              <w:top w:val="nil"/>
              <w:left w:val="nil"/>
              <w:bottom w:val="single" w:color="auto" w:sz="4" w:space="0"/>
              <w:right w:val="single" w:color="auto" w:sz="4" w:space="0"/>
            </w:tcBorders>
            <w:shd w:val="clear" w:color="auto" w:fill="auto"/>
            <w:noWrap/>
            <w:vAlign w:val="center"/>
          </w:tcPr>
          <w:p w14:paraId="0C2726A4">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6001414E">
            <w:pPr>
              <w:jc w:val="left"/>
              <w:rPr>
                <w:rFonts w:ascii="宋体" w:hAnsi="宋体" w:cs="宋体"/>
                <w:kern w:val="0"/>
                <w:sz w:val="20"/>
                <w:szCs w:val="20"/>
              </w:rPr>
            </w:pPr>
          </w:p>
        </w:tc>
      </w:tr>
      <w:tr w14:paraId="49DC732B">
        <w:tblPrEx>
          <w:tblCellMar>
            <w:top w:w="0" w:type="dxa"/>
            <w:left w:w="108" w:type="dxa"/>
            <w:bottom w:w="0" w:type="dxa"/>
            <w:right w:w="108" w:type="dxa"/>
          </w:tblCellMar>
        </w:tblPrEx>
        <w:trPr>
          <w:trHeight w:val="34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14:paraId="3813524F">
            <w:pPr>
              <w:jc w:val="left"/>
              <w:rPr>
                <w:rFonts w:ascii="宋体" w:hAnsi="宋体" w:cs="宋体"/>
                <w:kern w:val="0"/>
                <w:sz w:val="20"/>
                <w:szCs w:val="20"/>
              </w:rPr>
            </w:pPr>
          </w:p>
        </w:tc>
        <w:tc>
          <w:tcPr>
            <w:tcW w:w="1176" w:type="dxa"/>
            <w:tcBorders>
              <w:top w:val="nil"/>
              <w:left w:val="nil"/>
              <w:bottom w:val="single" w:color="auto" w:sz="4" w:space="0"/>
              <w:right w:val="single" w:color="auto" w:sz="4" w:space="0"/>
            </w:tcBorders>
            <w:shd w:val="clear" w:color="auto" w:fill="auto"/>
            <w:noWrap/>
            <w:vAlign w:val="center"/>
          </w:tcPr>
          <w:p w14:paraId="700115BE">
            <w:pPr>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6A0F92F3">
            <w:pPr>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0C1A47A4">
            <w:pPr>
              <w:jc w:val="left"/>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201A648F">
            <w:pPr>
              <w:jc w:val="left"/>
              <w:rPr>
                <w:rFonts w:ascii="宋体" w:hAnsi="宋体" w:cs="宋体"/>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14:paraId="42E3BF59">
            <w:pPr>
              <w:jc w:val="left"/>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265BE4BE">
            <w:pPr>
              <w:jc w:val="left"/>
              <w:rPr>
                <w:rFonts w:ascii="宋体" w:hAnsi="宋体" w:cs="宋体"/>
                <w:kern w:val="0"/>
                <w:sz w:val="20"/>
                <w:szCs w:val="20"/>
              </w:rPr>
            </w:pPr>
          </w:p>
        </w:tc>
        <w:tc>
          <w:tcPr>
            <w:tcW w:w="426" w:type="dxa"/>
            <w:tcBorders>
              <w:top w:val="nil"/>
              <w:left w:val="nil"/>
              <w:bottom w:val="single" w:color="auto" w:sz="4" w:space="0"/>
              <w:right w:val="single" w:color="auto" w:sz="4" w:space="0"/>
            </w:tcBorders>
            <w:shd w:val="clear" w:color="auto" w:fill="auto"/>
            <w:noWrap/>
            <w:vAlign w:val="center"/>
          </w:tcPr>
          <w:p w14:paraId="4CC7B3CA">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091EC595">
            <w:pPr>
              <w:jc w:val="left"/>
              <w:rPr>
                <w:rFonts w:ascii="宋体" w:hAnsi="宋体" w:cs="宋体"/>
                <w:kern w:val="0"/>
                <w:sz w:val="20"/>
                <w:szCs w:val="20"/>
              </w:rPr>
            </w:pPr>
          </w:p>
        </w:tc>
      </w:tr>
      <w:tr w14:paraId="46E120F6">
        <w:tblPrEx>
          <w:tblCellMar>
            <w:top w:w="0" w:type="dxa"/>
            <w:left w:w="108" w:type="dxa"/>
            <w:bottom w:w="0" w:type="dxa"/>
            <w:right w:w="108" w:type="dxa"/>
          </w:tblCellMar>
        </w:tblPrEx>
        <w:trPr>
          <w:trHeight w:val="34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14:paraId="7C122A2B">
            <w:pPr>
              <w:jc w:val="left"/>
              <w:rPr>
                <w:rFonts w:ascii="宋体" w:hAnsi="宋体" w:cs="宋体"/>
                <w:kern w:val="0"/>
                <w:sz w:val="20"/>
                <w:szCs w:val="20"/>
              </w:rPr>
            </w:pPr>
          </w:p>
        </w:tc>
        <w:tc>
          <w:tcPr>
            <w:tcW w:w="1176" w:type="dxa"/>
            <w:tcBorders>
              <w:top w:val="nil"/>
              <w:left w:val="nil"/>
              <w:bottom w:val="single" w:color="auto" w:sz="4" w:space="0"/>
              <w:right w:val="single" w:color="auto" w:sz="4" w:space="0"/>
            </w:tcBorders>
            <w:shd w:val="clear" w:color="auto" w:fill="auto"/>
            <w:noWrap/>
            <w:vAlign w:val="center"/>
          </w:tcPr>
          <w:p w14:paraId="6D984380">
            <w:pPr>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76DD202A">
            <w:pPr>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2B50C95D">
            <w:pPr>
              <w:jc w:val="left"/>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433E1CD3">
            <w:pPr>
              <w:jc w:val="left"/>
              <w:rPr>
                <w:rFonts w:ascii="宋体" w:hAnsi="宋体" w:cs="宋体"/>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14:paraId="1521E9AB">
            <w:pPr>
              <w:jc w:val="left"/>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0C3EBD43">
            <w:pPr>
              <w:jc w:val="left"/>
              <w:rPr>
                <w:rFonts w:ascii="宋体" w:hAnsi="宋体" w:cs="宋体"/>
                <w:kern w:val="0"/>
                <w:sz w:val="20"/>
                <w:szCs w:val="20"/>
              </w:rPr>
            </w:pPr>
          </w:p>
        </w:tc>
        <w:tc>
          <w:tcPr>
            <w:tcW w:w="426" w:type="dxa"/>
            <w:tcBorders>
              <w:top w:val="nil"/>
              <w:left w:val="nil"/>
              <w:bottom w:val="single" w:color="auto" w:sz="4" w:space="0"/>
              <w:right w:val="single" w:color="auto" w:sz="4" w:space="0"/>
            </w:tcBorders>
            <w:shd w:val="clear" w:color="auto" w:fill="auto"/>
            <w:noWrap/>
            <w:vAlign w:val="center"/>
          </w:tcPr>
          <w:p w14:paraId="673F52FE">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583675E4">
            <w:pPr>
              <w:jc w:val="left"/>
              <w:rPr>
                <w:rFonts w:ascii="宋体" w:hAnsi="宋体" w:cs="宋体"/>
                <w:kern w:val="0"/>
                <w:sz w:val="20"/>
                <w:szCs w:val="20"/>
              </w:rPr>
            </w:pPr>
          </w:p>
        </w:tc>
      </w:tr>
      <w:tr w14:paraId="4B2DAE6D">
        <w:tblPrEx>
          <w:tblCellMar>
            <w:top w:w="0" w:type="dxa"/>
            <w:left w:w="108" w:type="dxa"/>
            <w:bottom w:w="0" w:type="dxa"/>
            <w:right w:w="108" w:type="dxa"/>
          </w:tblCellMar>
        </w:tblPrEx>
        <w:trPr>
          <w:trHeight w:val="34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14:paraId="09A165F9">
            <w:pPr>
              <w:jc w:val="left"/>
              <w:rPr>
                <w:rFonts w:ascii="宋体" w:hAnsi="宋体" w:cs="宋体"/>
                <w:kern w:val="0"/>
                <w:sz w:val="20"/>
                <w:szCs w:val="20"/>
              </w:rPr>
            </w:pPr>
          </w:p>
        </w:tc>
        <w:tc>
          <w:tcPr>
            <w:tcW w:w="1176" w:type="dxa"/>
            <w:tcBorders>
              <w:top w:val="nil"/>
              <w:left w:val="nil"/>
              <w:bottom w:val="single" w:color="auto" w:sz="4" w:space="0"/>
              <w:right w:val="single" w:color="auto" w:sz="4" w:space="0"/>
            </w:tcBorders>
            <w:shd w:val="clear" w:color="auto" w:fill="auto"/>
            <w:noWrap/>
            <w:vAlign w:val="center"/>
          </w:tcPr>
          <w:p w14:paraId="115F9B66">
            <w:pPr>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60CFCF55">
            <w:pPr>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1F47699C">
            <w:pPr>
              <w:jc w:val="left"/>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2F7664FE">
            <w:pPr>
              <w:jc w:val="left"/>
              <w:rPr>
                <w:rFonts w:ascii="宋体" w:hAnsi="宋体" w:cs="宋体"/>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14:paraId="1AC61AF3">
            <w:pPr>
              <w:jc w:val="left"/>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1E988B4D">
            <w:pPr>
              <w:jc w:val="left"/>
              <w:rPr>
                <w:rFonts w:ascii="宋体" w:hAnsi="宋体" w:cs="宋体"/>
                <w:kern w:val="0"/>
                <w:sz w:val="20"/>
                <w:szCs w:val="20"/>
              </w:rPr>
            </w:pPr>
          </w:p>
        </w:tc>
        <w:tc>
          <w:tcPr>
            <w:tcW w:w="426" w:type="dxa"/>
            <w:tcBorders>
              <w:top w:val="nil"/>
              <w:left w:val="nil"/>
              <w:bottom w:val="single" w:color="auto" w:sz="4" w:space="0"/>
              <w:right w:val="single" w:color="auto" w:sz="4" w:space="0"/>
            </w:tcBorders>
            <w:shd w:val="clear" w:color="auto" w:fill="auto"/>
            <w:noWrap/>
            <w:vAlign w:val="center"/>
          </w:tcPr>
          <w:p w14:paraId="17FC9790">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2503A966">
            <w:pPr>
              <w:jc w:val="left"/>
              <w:rPr>
                <w:rFonts w:ascii="宋体" w:hAnsi="宋体" w:cs="宋体"/>
                <w:kern w:val="0"/>
                <w:sz w:val="20"/>
                <w:szCs w:val="20"/>
              </w:rPr>
            </w:pPr>
          </w:p>
        </w:tc>
      </w:tr>
      <w:tr w14:paraId="4379D0DB">
        <w:tblPrEx>
          <w:tblCellMar>
            <w:top w:w="0" w:type="dxa"/>
            <w:left w:w="108" w:type="dxa"/>
            <w:bottom w:w="0" w:type="dxa"/>
            <w:right w:w="108" w:type="dxa"/>
          </w:tblCellMar>
        </w:tblPrEx>
        <w:trPr>
          <w:trHeight w:val="34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14:paraId="1218DAD0">
            <w:pPr>
              <w:jc w:val="left"/>
              <w:rPr>
                <w:rFonts w:ascii="宋体" w:hAnsi="宋体" w:cs="宋体"/>
                <w:kern w:val="0"/>
                <w:sz w:val="20"/>
                <w:szCs w:val="20"/>
              </w:rPr>
            </w:pPr>
          </w:p>
        </w:tc>
        <w:tc>
          <w:tcPr>
            <w:tcW w:w="1176" w:type="dxa"/>
            <w:tcBorders>
              <w:top w:val="nil"/>
              <w:left w:val="nil"/>
              <w:bottom w:val="single" w:color="auto" w:sz="4" w:space="0"/>
              <w:right w:val="single" w:color="auto" w:sz="4" w:space="0"/>
            </w:tcBorders>
            <w:shd w:val="clear" w:color="auto" w:fill="auto"/>
            <w:noWrap/>
            <w:vAlign w:val="center"/>
          </w:tcPr>
          <w:p w14:paraId="244A2AB5">
            <w:pPr>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68DC7C99">
            <w:pPr>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6FAFCDB4">
            <w:pPr>
              <w:jc w:val="left"/>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26EF6917">
            <w:pPr>
              <w:jc w:val="left"/>
              <w:rPr>
                <w:rFonts w:ascii="宋体" w:hAnsi="宋体" w:cs="宋体"/>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14:paraId="3F188D3A">
            <w:pPr>
              <w:jc w:val="left"/>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1F382DBA">
            <w:pPr>
              <w:jc w:val="left"/>
              <w:rPr>
                <w:rFonts w:ascii="宋体" w:hAnsi="宋体" w:cs="宋体"/>
                <w:kern w:val="0"/>
                <w:sz w:val="20"/>
                <w:szCs w:val="20"/>
              </w:rPr>
            </w:pPr>
          </w:p>
        </w:tc>
        <w:tc>
          <w:tcPr>
            <w:tcW w:w="426" w:type="dxa"/>
            <w:tcBorders>
              <w:top w:val="nil"/>
              <w:left w:val="nil"/>
              <w:bottom w:val="single" w:color="auto" w:sz="4" w:space="0"/>
              <w:right w:val="single" w:color="auto" w:sz="4" w:space="0"/>
            </w:tcBorders>
            <w:shd w:val="clear" w:color="auto" w:fill="auto"/>
            <w:noWrap/>
            <w:vAlign w:val="center"/>
          </w:tcPr>
          <w:p w14:paraId="6B61C222">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2C16918F">
            <w:pPr>
              <w:jc w:val="left"/>
              <w:rPr>
                <w:rFonts w:ascii="宋体" w:hAnsi="宋体" w:cs="宋体"/>
                <w:kern w:val="0"/>
                <w:sz w:val="20"/>
                <w:szCs w:val="20"/>
              </w:rPr>
            </w:pPr>
          </w:p>
        </w:tc>
      </w:tr>
      <w:tr w14:paraId="0A2324E8">
        <w:tblPrEx>
          <w:tblCellMar>
            <w:top w:w="0" w:type="dxa"/>
            <w:left w:w="108" w:type="dxa"/>
            <w:bottom w:w="0" w:type="dxa"/>
            <w:right w:w="108" w:type="dxa"/>
          </w:tblCellMar>
        </w:tblPrEx>
        <w:trPr>
          <w:trHeight w:val="34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14:paraId="13559633">
            <w:pPr>
              <w:jc w:val="left"/>
              <w:rPr>
                <w:rFonts w:ascii="宋体" w:hAnsi="宋体" w:cs="宋体"/>
                <w:kern w:val="0"/>
                <w:sz w:val="20"/>
                <w:szCs w:val="20"/>
              </w:rPr>
            </w:pPr>
          </w:p>
        </w:tc>
        <w:tc>
          <w:tcPr>
            <w:tcW w:w="1176" w:type="dxa"/>
            <w:tcBorders>
              <w:top w:val="nil"/>
              <w:left w:val="nil"/>
              <w:bottom w:val="single" w:color="auto" w:sz="4" w:space="0"/>
              <w:right w:val="single" w:color="auto" w:sz="4" w:space="0"/>
            </w:tcBorders>
            <w:shd w:val="clear" w:color="auto" w:fill="auto"/>
            <w:noWrap/>
            <w:vAlign w:val="center"/>
          </w:tcPr>
          <w:p w14:paraId="1EBFDEC8">
            <w:pPr>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13D18288">
            <w:pPr>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152F3D9B">
            <w:pPr>
              <w:jc w:val="left"/>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64B23A5B">
            <w:pPr>
              <w:jc w:val="left"/>
              <w:rPr>
                <w:rFonts w:ascii="宋体" w:hAnsi="宋体" w:cs="宋体"/>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14:paraId="5CF194E8">
            <w:pPr>
              <w:jc w:val="left"/>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0F3A13FE">
            <w:pPr>
              <w:jc w:val="left"/>
              <w:rPr>
                <w:rFonts w:ascii="宋体" w:hAnsi="宋体" w:cs="宋体"/>
                <w:kern w:val="0"/>
                <w:sz w:val="20"/>
                <w:szCs w:val="20"/>
              </w:rPr>
            </w:pPr>
          </w:p>
        </w:tc>
        <w:tc>
          <w:tcPr>
            <w:tcW w:w="426" w:type="dxa"/>
            <w:tcBorders>
              <w:top w:val="nil"/>
              <w:left w:val="nil"/>
              <w:bottom w:val="single" w:color="auto" w:sz="4" w:space="0"/>
              <w:right w:val="single" w:color="auto" w:sz="4" w:space="0"/>
            </w:tcBorders>
            <w:shd w:val="clear" w:color="auto" w:fill="auto"/>
            <w:noWrap/>
            <w:vAlign w:val="center"/>
          </w:tcPr>
          <w:p w14:paraId="3C58A6AA">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50034FA9">
            <w:pPr>
              <w:jc w:val="left"/>
              <w:rPr>
                <w:rFonts w:ascii="宋体" w:hAnsi="宋体" w:cs="宋体"/>
                <w:kern w:val="0"/>
                <w:sz w:val="20"/>
                <w:szCs w:val="20"/>
              </w:rPr>
            </w:pPr>
          </w:p>
        </w:tc>
      </w:tr>
      <w:tr w14:paraId="1023954E">
        <w:tblPrEx>
          <w:tblCellMar>
            <w:top w:w="0" w:type="dxa"/>
            <w:left w:w="108" w:type="dxa"/>
            <w:bottom w:w="0" w:type="dxa"/>
            <w:right w:w="108" w:type="dxa"/>
          </w:tblCellMar>
        </w:tblPrEx>
        <w:trPr>
          <w:trHeight w:val="34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14:paraId="654CF2D6">
            <w:pPr>
              <w:jc w:val="left"/>
              <w:rPr>
                <w:rFonts w:ascii="宋体" w:hAnsi="宋体" w:cs="宋体"/>
                <w:kern w:val="0"/>
                <w:sz w:val="20"/>
                <w:szCs w:val="20"/>
              </w:rPr>
            </w:pPr>
          </w:p>
        </w:tc>
        <w:tc>
          <w:tcPr>
            <w:tcW w:w="1176" w:type="dxa"/>
            <w:tcBorders>
              <w:top w:val="nil"/>
              <w:left w:val="nil"/>
              <w:bottom w:val="single" w:color="auto" w:sz="4" w:space="0"/>
              <w:right w:val="single" w:color="auto" w:sz="4" w:space="0"/>
            </w:tcBorders>
            <w:shd w:val="clear" w:color="auto" w:fill="auto"/>
            <w:noWrap/>
            <w:vAlign w:val="center"/>
          </w:tcPr>
          <w:p w14:paraId="670662B8">
            <w:pPr>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1BCBB8AB">
            <w:pPr>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023E93AC">
            <w:pPr>
              <w:jc w:val="left"/>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538CDBC2">
            <w:pPr>
              <w:jc w:val="left"/>
              <w:rPr>
                <w:rFonts w:ascii="宋体" w:hAnsi="宋体" w:cs="宋体"/>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14:paraId="0472AC5C">
            <w:pPr>
              <w:jc w:val="left"/>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6D87920C">
            <w:pPr>
              <w:jc w:val="left"/>
              <w:rPr>
                <w:rFonts w:ascii="宋体" w:hAnsi="宋体" w:cs="宋体"/>
                <w:kern w:val="0"/>
                <w:sz w:val="20"/>
                <w:szCs w:val="20"/>
              </w:rPr>
            </w:pPr>
          </w:p>
        </w:tc>
        <w:tc>
          <w:tcPr>
            <w:tcW w:w="426" w:type="dxa"/>
            <w:tcBorders>
              <w:top w:val="nil"/>
              <w:left w:val="nil"/>
              <w:bottom w:val="single" w:color="auto" w:sz="4" w:space="0"/>
              <w:right w:val="single" w:color="auto" w:sz="4" w:space="0"/>
            </w:tcBorders>
            <w:shd w:val="clear" w:color="auto" w:fill="auto"/>
            <w:noWrap/>
            <w:vAlign w:val="center"/>
          </w:tcPr>
          <w:p w14:paraId="74B888A4">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70990757">
            <w:pPr>
              <w:jc w:val="left"/>
              <w:rPr>
                <w:rFonts w:ascii="宋体" w:hAnsi="宋体" w:cs="宋体"/>
                <w:kern w:val="0"/>
                <w:sz w:val="20"/>
                <w:szCs w:val="20"/>
              </w:rPr>
            </w:pPr>
          </w:p>
        </w:tc>
      </w:tr>
    </w:tbl>
    <w:p w14:paraId="57C1593C"/>
    <w:p w14:paraId="25CBF6B5">
      <w:pPr>
        <w:pStyle w:val="4"/>
        <w:keepNext w:val="0"/>
        <w:keepLines w:val="0"/>
      </w:pPr>
      <w:r>
        <w:rPr>
          <w:rFonts w:hint="eastAsia"/>
        </w:rPr>
        <w:t>（五）</w:t>
      </w:r>
      <w:r>
        <w:rPr>
          <w:rFonts w:hint="eastAsia"/>
          <w:kern w:val="0"/>
        </w:rPr>
        <w:t>措施项目清单与计价汇总表</w:t>
      </w:r>
    </w:p>
    <w:tbl>
      <w:tblPr>
        <w:tblStyle w:val="55"/>
        <w:tblW w:w="8520" w:type="dxa"/>
        <w:tblInd w:w="93" w:type="dxa"/>
        <w:tblLayout w:type="fixed"/>
        <w:tblCellMar>
          <w:top w:w="0" w:type="dxa"/>
          <w:left w:w="108" w:type="dxa"/>
          <w:bottom w:w="0" w:type="dxa"/>
          <w:right w:w="108" w:type="dxa"/>
        </w:tblCellMar>
      </w:tblPr>
      <w:tblGrid>
        <w:gridCol w:w="666"/>
        <w:gridCol w:w="4311"/>
        <w:gridCol w:w="3543"/>
      </w:tblGrid>
      <w:tr w14:paraId="41D5857C">
        <w:trPr>
          <w:trHeight w:val="668" w:hRule="atLeast"/>
        </w:trPr>
        <w:tc>
          <w:tcPr>
            <w:tcW w:w="4977" w:type="dxa"/>
            <w:gridSpan w:val="2"/>
            <w:tcBorders>
              <w:top w:val="nil"/>
              <w:left w:val="nil"/>
              <w:bottom w:val="nil"/>
              <w:right w:val="nil"/>
            </w:tcBorders>
            <w:shd w:val="clear" w:color="auto" w:fill="auto"/>
            <w:vAlign w:val="bottom"/>
          </w:tcPr>
          <w:p w14:paraId="4CAC1E5D">
            <w:pPr>
              <w:jc w:val="left"/>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3543" w:type="dxa"/>
            <w:tcBorders>
              <w:top w:val="nil"/>
              <w:left w:val="nil"/>
              <w:bottom w:val="nil"/>
              <w:right w:val="nil"/>
            </w:tcBorders>
            <w:shd w:val="clear" w:color="auto" w:fill="auto"/>
            <w:vAlign w:val="bottom"/>
          </w:tcPr>
          <w:p w14:paraId="48E5EE0F">
            <w:pPr>
              <w:jc w:val="right"/>
              <w:rPr>
                <w:rFonts w:ascii="宋体" w:hAnsi="宋体" w:cs="宋体"/>
                <w:kern w:val="0"/>
                <w:sz w:val="20"/>
                <w:szCs w:val="20"/>
              </w:rPr>
            </w:pPr>
            <w:r>
              <w:rPr>
                <w:rFonts w:hint="eastAsia" w:ascii="宋体" w:hAnsi="宋体" w:cs="宋体"/>
                <w:kern w:val="0"/>
                <w:sz w:val="20"/>
                <w:szCs w:val="20"/>
              </w:rPr>
              <w:t>第1页 共1页</w:t>
            </w:r>
          </w:p>
        </w:tc>
      </w:tr>
      <w:tr w14:paraId="7AEDC81E">
        <w:tblPrEx>
          <w:tblCellMar>
            <w:top w:w="0" w:type="dxa"/>
            <w:left w:w="108" w:type="dxa"/>
            <w:bottom w:w="0" w:type="dxa"/>
            <w:right w:w="108" w:type="dxa"/>
          </w:tblCellMar>
        </w:tblPrEx>
        <w:trPr>
          <w:trHeight w:val="372" w:hRule="atLeast"/>
        </w:trPr>
        <w:tc>
          <w:tcPr>
            <w:tcW w:w="666" w:type="dxa"/>
            <w:tcBorders>
              <w:top w:val="single" w:color="auto" w:sz="4" w:space="0"/>
              <w:left w:val="single" w:color="auto" w:sz="4" w:space="0"/>
              <w:bottom w:val="single" w:color="000000" w:sz="4" w:space="0"/>
              <w:right w:val="single" w:color="000000" w:sz="4" w:space="0"/>
            </w:tcBorders>
            <w:shd w:val="clear" w:color="000000" w:fill="FFFFFF"/>
            <w:noWrap/>
            <w:vAlign w:val="center"/>
          </w:tcPr>
          <w:p w14:paraId="5D6B5CDE">
            <w:pPr>
              <w:jc w:val="center"/>
              <w:rPr>
                <w:rFonts w:ascii="宋体" w:hAnsi="宋体" w:cs="宋体"/>
                <w:kern w:val="0"/>
                <w:sz w:val="20"/>
                <w:szCs w:val="20"/>
              </w:rPr>
            </w:pPr>
            <w:r>
              <w:rPr>
                <w:rFonts w:hint="eastAsia" w:ascii="宋体" w:hAnsi="宋体" w:cs="宋体"/>
                <w:kern w:val="0"/>
                <w:sz w:val="20"/>
                <w:szCs w:val="20"/>
              </w:rPr>
              <w:t>序号</w:t>
            </w:r>
          </w:p>
        </w:tc>
        <w:tc>
          <w:tcPr>
            <w:tcW w:w="4311" w:type="dxa"/>
            <w:tcBorders>
              <w:top w:val="single" w:color="auto" w:sz="4" w:space="0"/>
              <w:left w:val="nil"/>
              <w:bottom w:val="single" w:color="000000" w:sz="4" w:space="0"/>
              <w:right w:val="single" w:color="000000" w:sz="4" w:space="0"/>
            </w:tcBorders>
            <w:shd w:val="clear" w:color="000000" w:fill="FFFFFF"/>
            <w:vAlign w:val="center"/>
          </w:tcPr>
          <w:p w14:paraId="2084267F">
            <w:pPr>
              <w:jc w:val="center"/>
              <w:rPr>
                <w:rFonts w:ascii="宋体" w:hAnsi="宋体" w:cs="宋体"/>
                <w:kern w:val="0"/>
                <w:sz w:val="20"/>
                <w:szCs w:val="20"/>
              </w:rPr>
            </w:pPr>
            <w:r>
              <w:rPr>
                <w:rFonts w:hint="eastAsia" w:ascii="宋体" w:hAnsi="宋体" w:cs="宋体"/>
                <w:kern w:val="0"/>
                <w:sz w:val="20"/>
                <w:szCs w:val="20"/>
              </w:rPr>
              <w:t>项目名称</w:t>
            </w:r>
          </w:p>
        </w:tc>
        <w:tc>
          <w:tcPr>
            <w:tcW w:w="3543" w:type="dxa"/>
            <w:tcBorders>
              <w:top w:val="single" w:color="auto" w:sz="4" w:space="0"/>
              <w:left w:val="nil"/>
              <w:bottom w:val="single" w:color="000000" w:sz="4" w:space="0"/>
              <w:right w:val="single" w:color="auto" w:sz="4" w:space="0"/>
            </w:tcBorders>
            <w:shd w:val="clear" w:color="000000" w:fill="FFFFFF"/>
            <w:noWrap/>
            <w:vAlign w:val="center"/>
          </w:tcPr>
          <w:p w14:paraId="6B92E309">
            <w:pPr>
              <w:jc w:val="center"/>
              <w:rPr>
                <w:rFonts w:ascii="宋体" w:hAnsi="宋体" w:cs="宋体"/>
                <w:kern w:val="0"/>
                <w:sz w:val="20"/>
                <w:szCs w:val="20"/>
              </w:rPr>
            </w:pPr>
            <w:r>
              <w:rPr>
                <w:rFonts w:hint="eastAsia" w:ascii="宋体" w:hAnsi="宋体" w:cs="宋体"/>
                <w:kern w:val="0"/>
                <w:sz w:val="20"/>
                <w:szCs w:val="20"/>
              </w:rPr>
              <w:t>金额(元)</w:t>
            </w:r>
          </w:p>
        </w:tc>
      </w:tr>
      <w:tr w14:paraId="5C622524">
        <w:tblPrEx>
          <w:tblCellMar>
            <w:top w:w="0" w:type="dxa"/>
            <w:left w:w="108" w:type="dxa"/>
            <w:bottom w:w="0" w:type="dxa"/>
            <w:right w:w="108" w:type="dxa"/>
          </w:tblCellMar>
        </w:tblPrEx>
        <w:trPr>
          <w:trHeight w:val="372" w:hRule="atLeast"/>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16B6DBD8">
            <w:pPr>
              <w:jc w:val="center"/>
              <w:rPr>
                <w:rFonts w:ascii="宋体" w:hAnsi="宋体" w:cs="宋体"/>
                <w:kern w:val="0"/>
                <w:sz w:val="18"/>
                <w:szCs w:val="18"/>
              </w:rPr>
            </w:pPr>
          </w:p>
        </w:tc>
        <w:tc>
          <w:tcPr>
            <w:tcW w:w="4311" w:type="dxa"/>
            <w:tcBorders>
              <w:top w:val="single" w:color="auto" w:sz="4" w:space="0"/>
              <w:left w:val="nil"/>
              <w:bottom w:val="single" w:color="auto" w:sz="4" w:space="0"/>
              <w:right w:val="single" w:color="000000" w:sz="4" w:space="0"/>
            </w:tcBorders>
            <w:shd w:val="clear" w:color="000000" w:fill="FFFFFF"/>
            <w:vAlign w:val="center"/>
          </w:tcPr>
          <w:p w14:paraId="116CC3FB">
            <w:pPr>
              <w:jc w:val="left"/>
              <w:rPr>
                <w:rFonts w:ascii="宋体" w:hAnsi="宋体" w:cs="宋体"/>
                <w:kern w:val="0"/>
                <w:sz w:val="18"/>
                <w:szCs w:val="18"/>
              </w:rPr>
            </w:pPr>
          </w:p>
        </w:tc>
        <w:tc>
          <w:tcPr>
            <w:tcW w:w="3543" w:type="dxa"/>
            <w:tcBorders>
              <w:top w:val="nil"/>
              <w:left w:val="nil"/>
              <w:bottom w:val="single" w:color="auto" w:sz="4" w:space="0"/>
              <w:right w:val="single" w:color="auto" w:sz="4" w:space="0"/>
            </w:tcBorders>
            <w:shd w:val="clear" w:color="000000" w:fill="FFFFFF"/>
            <w:noWrap/>
            <w:vAlign w:val="center"/>
          </w:tcPr>
          <w:p w14:paraId="6F4AD5D3">
            <w:pPr>
              <w:jc w:val="right"/>
              <w:rPr>
                <w:rFonts w:ascii="宋体" w:hAnsi="宋体" w:cs="宋体"/>
                <w:kern w:val="0"/>
                <w:sz w:val="18"/>
                <w:szCs w:val="18"/>
              </w:rPr>
            </w:pPr>
            <w:r>
              <w:rPr>
                <w:rFonts w:hint="eastAsia" w:ascii="宋体" w:hAnsi="宋体" w:cs="宋体"/>
                <w:kern w:val="0"/>
                <w:sz w:val="18"/>
                <w:szCs w:val="18"/>
              </w:rPr>
              <w:t xml:space="preserve"> </w:t>
            </w:r>
          </w:p>
        </w:tc>
      </w:tr>
      <w:tr w14:paraId="593DDF15">
        <w:tblPrEx>
          <w:tblCellMar>
            <w:top w:w="0" w:type="dxa"/>
            <w:left w:w="108" w:type="dxa"/>
            <w:bottom w:w="0" w:type="dxa"/>
            <w:right w:w="108" w:type="dxa"/>
          </w:tblCellMar>
        </w:tblPrEx>
        <w:trPr>
          <w:trHeight w:val="372" w:hRule="atLeast"/>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2DA511AB">
            <w:pPr>
              <w:jc w:val="center"/>
              <w:rPr>
                <w:rFonts w:ascii="宋体" w:hAnsi="宋体" w:cs="宋体"/>
                <w:kern w:val="0"/>
                <w:sz w:val="18"/>
                <w:szCs w:val="18"/>
              </w:rPr>
            </w:pPr>
          </w:p>
        </w:tc>
        <w:tc>
          <w:tcPr>
            <w:tcW w:w="4311" w:type="dxa"/>
            <w:tcBorders>
              <w:top w:val="single" w:color="auto" w:sz="4" w:space="0"/>
              <w:left w:val="nil"/>
              <w:bottom w:val="single" w:color="auto" w:sz="4" w:space="0"/>
              <w:right w:val="single" w:color="000000" w:sz="4" w:space="0"/>
            </w:tcBorders>
            <w:shd w:val="clear" w:color="000000" w:fill="FFFFFF"/>
            <w:vAlign w:val="center"/>
          </w:tcPr>
          <w:p w14:paraId="08434590">
            <w:pPr>
              <w:jc w:val="left"/>
              <w:rPr>
                <w:rFonts w:ascii="宋体" w:hAnsi="宋体" w:cs="宋体"/>
                <w:kern w:val="0"/>
                <w:sz w:val="18"/>
                <w:szCs w:val="18"/>
              </w:rPr>
            </w:pPr>
          </w:p>
        </w:tc>
        <w:tc>
          <w:tcPr>
            <w:tcW w:w="3543" w:type="dxa"/>
            <w:tcBorders>
              <w:top w:val="nil"/>
              <w:left w:val="nil"/>
              <w:bottom w:val="single" w:color="auto" w:sz="4" w:space="0"/>
              <w:right w:val="single" w:color="auto" w:sz="4" w:space="0"/>
            </w:tcBorders>
            <w:shd w:val="clear" w:color="000000" w:fill="FFFFFF"/>
            <w:noWrap/>
            <w:vAlign w:val="center"/>
          </w:tcPr>
          <w:p w14:paraId="391935DA">
            <w:pPr>
              <w:jc w:val="right"/>
              <w:rPr>
                <w:rFonts w:ascii="宋体" w:hAnsi="宋体" w:cs="宋体"/>
                <w:kern w:val="0"/>
                <w:sz w:val="18"/>
                <w:szCs w:val="18"/>
              </w:rPr>
            </w:pPr>
            <w:r>
              <w:rPr>
                <w:rFonts w:hint="eastAsia" w:ascii="宋体" w:hAnsi="宋体" w:cs="宋体"/>
                <w:kern w:val="0"/>
                <w:sz w:val="18"/>
                <w:szCs w:val="18"/>
              </w:rPr>
              <w:t xml:space="preserve"> </w:t>
            </w:r>
          </w:p>
        </w:tc>
      </w:tr>
      <w:tr w14:paraId="568F5CB5">
        <w:tblPrEx>
          <w:tblCellMar>
            <w:top w:w="0" w:type="dxa"/>
            <w:left w:w="108" w:type="dxa"/>
            <w:bottom w:w="0" w:type="dxa"/>
            <w:right w:w="108" w:type="dxa"/>
          </w:tblCellMar>
        </w:tblPrEx>
        <w:trPr>
          <w:trHeight w:val="372" w:hRule="atLeast"/>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39ED0C79">
            <w:pPr>
              <w:jc w:val="center"/>
              <w:rPr>
                <w:rFonts w:ascii="宋体" w:hAnsi="宋体" w:cs="宋体"/>
                <w:kern w:val="0"/>
                <w:sz w:val="18"/>
                <w:szCs w:val="18"/>
              </w:rPr>
            </w:pPr>
          </w:p>
        </w:tc>
        <w:tc>
          <w:tcPr>
            <w:tcW w:w="4311" w:type="dxa"/>
            <w:tcBorders>
              <w:top w:val="single" w:color="auto" w:sz="4" w:space="0"/>
              <w:left w:val="nil"/>
              <w:bottom w:val="single" w:color="auto" w:sz="4" w:space="0"/>
              <w:right w:val="single" w:color="000000" w:sz="4" w:space="0"/>
            </w:tcBorders>
            <w:shd w:val="clear" w:color="000000" w:fill="FFFFFF"/>
            <w:vAlign w:val="center"/>
          </w:tcPr>
          <w:p w14:paraId="4E27DF1E">
            <w:pPr>
              <w:jc w:val="left"/>
              <w:rPr>
                <w:rFonts w:ascii="宋体" w:hAnsi="宋体" w:cs="宋体"/>
                <w:kern w:val="0"/>
                <w:sz w:val="18"/>
                <w:szCs w:val="18"/>
              </w:rPr>
            </w:pPr>
          </w:p>
        </w:tc>
        <w:tc>
          <w:tcPr>
            <w:tcW w:w="3543" w:type="dxa"/>
            <w:tcBorders>
              <w:top w:val="nil"/>
              <w:left w:val="nil"/>
              <w:bottom w:val="single" w:color="auto" w:sz="4" w:space="0"/>
              <w:right w:val="single" w:color="auto" w:sz="4" w:space="0"/>
            </w:tcBorders>
            <w:shd w:val="clear" w:color="000000" w:fill="FFFFFF"/>
            <w:noWrap/>
            <w:vAlign w:val="center"/>
          </w:tcPr>
          <w:p w14:paraId="5A62C747">
            <w:pPr>
              <w:jc w:val="right"/>
              <w:rPr>
                <w:rFonts w:ascii="宋体" w:hAnsi="宋体" w:cs="宋体"/>
                <w:kern w:val="0"/>
                <w:sz w:val="18"/>
                <w:szCs w:val="18"/>
              </w:rPr>
            </w:pPr>
            <w:r>
              <w:rPr>
                <w:rFonts w:hint="eastAsia" w:ascii="宋体" w:hAnsi="宋体" w:cs="宋体"/>
                <w:kern w:val="0"/>
                <w:sz w:val="18"/>
                <w:szCs w:val="18"/>
              </w:rPr>
              <w:t xml:space="preserve"> </w:t>
            </w:r>
          </w:p>
        </w:tc>
      </w:tr>
      <w:tr w14:paraId="15DC1D95">
        <w:tblPrEx>
          <w:tblCellMar>
            <w:top w:w="0" w:type="dxa"/>
            <w:left w:w="108" w:type="dxa"/>
            <w:bottom w:w="0" w:type="dxa"/>
            <w:right w:w="108" w:type="dxa"/>
          </w:tblCellMar>
        </w:tblPrEx>
        <w:trPr>
          <w:trHeight w:val="372" w:hRule="atLeast"/>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5D9EF0E6">
            <w:pPr>
              <w:jc w:val="center"/>
              <w:rPr>
                <w:rFonts w:ascii="宋体" w:hAnsi="宋体" w:cs="宋体"/>
                <w:kern w:val="0"/>
                <w:sz w:val="18"/>
                <w:szCs w:val="18"/>
              </w:rPr>
            </w:pPr>
          </w:p>
        </w:tc>
        <w:tc>
          <w:tcPr>
            <w:tcW w:w="4311" w:type="dxa"/>
            <w:tcBorders>
              <w:top w:val="single" w:color="auto" w:sz="4" w:space="0"/>
              <w:left w:val="nil"/>
              <w:bottom w:val="single" w:color="auto" w:sz="4" w:space="0"/>
              <w:right w:val="single" w:color="000000" w:sz="4" w:space="0"/>
            </w:tcBorders>
            <w:shd w:val="clear" w:color="000000" w:fill="FFFFFF"/>
            <w:vAlign w:val="center"/>
          </w:tcPr>
          <w:p w14:paraId="09155670">
            <w:pPr>
              <w:jc w:val="left"/>
              <w:rPr>
                <w:rFonts w:ascii="宋体" w:hAnsi="宋体" w:cs="宋体"/>
                <w:kern w:val="0"/>
                <w:sz w:val="18"/>
                <w:szCs w:val="18"/>
              </w:rPr>
            </w:pPr>
          </w:p>
        </w:tc>
        <w:tc>
          <w:tcPr>
            <w:tcW w:w="3543" w:type="dxa"/>
            <w:tcBorders>
              <w:top w:val="nil"/>
              <w:left w:val="nil"/>
              <w:bottom w:val="single" w:color="auto" w:sz="4" w:space="0"/>
              <w:right w:val="single" w:color="auto" w:sz="4" w:space="0"/>
            </w:tcBorders>
            <w:shd w:val="clear" w:color="000000" w:fill="FFFFFF"/>
            <w:noWrap/>
            <w:vAlign w:val="center"/>
          </w:tcPr>
          <w:p w14:paraId="55B07D3F">
            <w:pPr>
              <w:jc w:val="right"/>
              <w:rPr>
                <w:rFonts w:ascii="宋体" w:hAnsi="宋体" w:cs="宋体"/>
                <w:kern w:val="0"/>
                <w:sz w:val="18"/>
                <w:szCs w:val="18"/>
              </w:rPr>
            </w:pPr>
            <w:r>
              <w:rPr>
                <w:rFonts w:hint="eastAsia" w:ascii="宋体" w:hAnsi="宋体" w:cs="宋体"/>
                <w:kern w:val="0"/>
                <w:sz w:val="18"/>
                <w:szCs w:val="18"/>
              </w:rPr>
              <w:t xml:space="preserve"> </w:t>
            </w:r>
          </w:p>
        </w:tc>
      </w:tr>
      <w:tr w14:paraId="687C5F87">
        <w:tblPrEx>
          <w:tblCellMar>
            <w:top w:w="0" w:type="dxa"/>
            <w:left w:w="108" w:type="dxa"/>
            <w:bottom w:w="0" w:type="dxa"/>
            <w:right w:w="108" w:type="dxa"/>
          </w:tblCellMar>
        </w:tblPrEx>
        <w:trPr>
          <w:trHeight w:val="372" w:hRule="atLeast"/>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0AD6D157">
            <w:pPr>
              <w:jc w:val="center"/>
              <w:rPr>
                <w:rFonts w:ascii="宋体" w:hAnsi="宋体" w:cs="宋体"/>
                <w:kern w:val="0"/>
                <w:sz w:val="18"/>
                <w:szCs w:val="18"/>
              </w:rPr>
            </w:pPr>
          </w:p>
        </w:tc>
        <w:tc>
          <w:tcPr>
            <w:tcW w:w="4311" w:type="dxa"/>
            <w:tcBorders>
              <w:top w:val="single" w:color="auto" w:sz="4" w:space="0"/>
              <w:left w:val="nil"/>
              <w:bottom w:val="single" w:color="auto" w:sz="4" w:space="0"/>
              <w:right w:val="single" w:color="000000" w:sz="4" w:space="0"/>
            </w:tcBorders>
            <w:shd w:val="clear" w:color="000000" w:fill="FFFFFF"/>
            <w:vAlign w:val="center"/>
          </w:tcPr>
          <w:p w14:paraId="3641AF01">
            <w:pPr>
              <w:jc w:val="left"/>
              <w:rPr>
                <w:rFonts w:ascii="宋体" w:hAnsi="宋体" w:cs="宋体"/>
                <w:kern w:val="0"/>
                <w:sz w:val="18"/>
                <w:szCs w:val="18"/>
              </w:rPr>
            </w:pPr>
          </w:p>
        </w:tc>
        <w:tc>
          <w:tcPr>
            <w:tcW w:w="3543" w:type="dxa"/>
            <w:tcBorders>
              <w:top w:val="nil"/>
              <w:left w:val="nil"/>
              <w:bottom w:val="single" w:color="auto" w:sz="4" w:space="0"/>
              <w:right w:val="single" w:color="auto" w:sz="4" w:space="0"/>
            </w:tcBorders>
            <w:shd w:val="clear" w:color="000000" w:fill="FFFFFF"/>
            <w:noWrap/>
            <w:vAlign w:val="center"/>
          </w:tcPr>
          <w:p w14:paraId="048AE4BA">
            <w:pPr>
              <w:jc w:val="right"/>
              <w:rPr>
                <w:rFonts w:ascii="宋体" w:hAnsi="宋体" w:cs="宋体"/>
                <w:kern w:val="0"/>
                <w:sz w:val="18"/>
                <w:szCs w:val="18"/>
              </w:rPr>
            </w:pPr>
            <w:r>
              <w:rPr>
                <w:rFonts w:hint="eastAsia" w:ascii="宋体" w:hAnsi="宋体" w:cs="宋体"/>
                <w:kern w:val="0"/>
                <w:sz w:val="18"/>
                <w:szCs w:val="18"/>
              </w:rPr>
              <w:t xml:space="preserve"> </w:t>
            </w:r>
          </w:p>
        </w:tc>
      </w:tr>
      <w:tr w14:paraId="53CC01DD">
        <w:tblPrEx>
          <w:tblCellMar>
            <w:top w:w="0" w:type="dxa"/>
            <w:left w:w="108" w:type="dxa"/>
            <w:bottom w:w="0" w:type="dxa"/>
            <w:right w:w="108" w:type="dxa"/>
          </w:tblCellMar>
        </w:tblPrEx>
        <w:trPr>
          <w:trHeight w:val="372" w:hRule="atLeast"/>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08FFE172">
            <w:pPr>
              <w:jc w:val="center"/>
              <w:rPr>
                <w:rFonts w:ascii="宋体" w:hAnsi="宋体" w:cs="宋体"/>
                <w:kern w:val="0"/>
                <w:sz w:val="18"/>
                <w:szCs w:val="18"/>
              </w:rPr>
            </w:pPr>
          </w:p>
        </w:tc>
        <w:tc>
          <w:tcPr>
            <w:tcW w:w="4311" w:type="dxa"/>
            <w:tcBorders>
              <w:top w:val="single" w:color="auto" w:sz="4" w:space="0"/>
              <w:left w:val="nil"/>
              <w:bottom w:val="single" w:color="auto" w:sz="4" w:space="0"/>
              <w:right w:val="single" w:color="000000" w:sz="4" w:space="0"/>
            </w:tcBorders>
            <w:shd w:val="clear" w:color="000000" w:fill="FFFFFF"/>
            <w:vAlign w:val="center"/>
          </w:tcPr>
          <w:p w14:paraId="240779BD">
            <w:pPr>
              <w:jc w:val="left"/>
              <w:rPr>
                <w:rFonts w:ascii="宋体" w:hAnsi="宋体" w:cs="宋体"/>
                <w:kern w:val="0"/>
                <w:sz w:val="18"/>
                <w:szCs w:val="18"/>
              </w:rPr>
            </w:pPr>
          </w:p>
        </w:tc>
        <w:tc>
          <w:tcPr>
            <w:tcW w:w="3543" w:type="dxa"/>
            <w:tcBorders>
              <w:top w:val="nil"/>
              <w:left w:val="nil"/>
              <w:bottom w:val="single" w:color="auto" w:sz="4" w:space="0"/>
              <w:right w:val="single" w:color="auto" w:sz="4" w:space="0"/>
            </w:tcBorders>
            <w:shd w:val="clear" w:color="000000" w:fill="FFFFFF"/>
            <w:noWrap/>
            <w:vAlign w:val="center"/>
          </w:tcPr>
          <w:p w14:paraId="44CAAE07">
            <w:pPr>
              <w:jc w:val="right"/>
              <w:rPr>
                <w:rFonts w:ascii="宋体" w:hAnsi="宋体" w:cs="宋体"/>
                <w:kern w:val="0"/>
                <w:sz w:val="18"/>
                <w:szCs w:val="18"/>
              </w:rPr>
            </w:pPr>
            <w:r>
              <w:rPr>
                <w:rFonts w:hint="eastAsia" w:ascii="宋体" w:hAnsi="宋体" w:cs="宋体"/>
                <w:kern w:val="0"/>
                <w:sz w:val="18"/>
                <w:szCs w:val="18"/>
              </w:rPr>
              <w:t xml:space="preserve"> </w:t>
            </w:r>
          </w:p>
        </w:tc>
      </w:tr>
      <w:tr w14:paraId="56CEDF7F">
        <w:tblPrEx>
          <w:tblCellMar>
            <w:top w:w="0" w:type="dxa"/>
            <w:left w:w="108" w:type="dxa"/>
            <w:bottom w:w="0" w:type="dxa"/>
            <w:right w:w="108" w:type="dxa"/>
          </w:tblCellMar>
        </w:tblPrEx>
        <w:trPr>
          <w:trHeight w:val="372" w:hRule="atLeast"/>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1699F1D8">
            <w:pPr>
              <w:jc w:val="center"/>
              <w:rPr>
                <w:rFonts w:ascii="宋体" w:hAnsi="宋体" w:cs="宋体"/>
                <w:kern w:val="0"/>
                <w:sz w:val="18"/>
                <w:szCs w:val="18"/>
              </w:rPr>
            </w:pPr>
          </w:p>
        </w:tc>
        <w:tc>
          <w:tcPr>
            <w:tcW w:w="4311" w:type="dxa"/>
            <w:tcBorders>
              <w:top w:val="single" w:color="auto" w:sz="4" w:space="0"/>
              <w:left w:val="nil"/>
              <w:bottom w:val="single" w:color="auto" w:sz="4" w:space="0"/>
              <w:right w:val="single" w:color="000000" w:sz="4" w:space="0"/>
            </w:tcBorders>
            <w:shd w:val="clear" w:color="000000" w:fill="FFFFFF"/>
            <w:vAlign w:val="center"/>
          </w:tcPr>
          <w:p w14:paraId="31955A2B">
            <w:pPr>
              <w:jc w:val="left"/>
              <w:rPr>
                <w:rFonts w:ascii="宋体" w:hAnsi="宋体" w:cs="宋体"/>
                <w:kern w:val="0"/>
                <w:sz w:val="18"/>
                <w:szCs w:val="18"/>
              </w:rPr>
            </w:pPr>
          </w:p>
        </w:tc>
        <w:tc>
          <w:tcPr>
            <w:tcW w:w="3543" w:type="dxa"/>
            <w:tcBorders>
              <w:top w:val="nil"/>
              <w:left w:val="nil"/>
              <w:bottom w:val="single" w:color="auto" w:sz="4" w:space="0"/>
              <w:right w:val="single" w:color="auto" w:sz="4" w:space="0"/>
            </w:tcBorders>
            <w:shd w:val="clear" w:color="000000" w:fill="FFFFFF"/>
            <w:noWrap/>
            <w:vAlign w:val="center"/>
          </w:tcPr>
          <w:p w14:paraId="48314041">
            <w:pPr>
              <w:jc w:val="right"/>
              <w:rPr>
                <w:rFonts w:ascii="宋体" w:hAnsi="宋体" w:cs="宋体"/>
                <w:kern w:val="0"/>
                <w:sz w:val="18"/>
                <w:szCs w:val="18"/>
              </w:rPr>
            </w:pPr>
            <w:r>
              <w:rPr>
                <w:rFonts w:hint="eastAsia" w:ascii="宋体" w:hAnsi="宋体" w:cs="宋体"/>
                <w:kern w:val="0"/>
                <w:sz w:val="18"/>
                <w:szCs w:val="18"/>
              </w:rPr>
              <w:t xml:space="preserve"> </w:t>
            </w:r>
          </w:p>
        </w:tc>
      </w:tr>
      <w:tr w14:paraId="24D6FEF2">
        <w:tblPrEx>
          <w:tblCellMar>
            <w:top w:w="0" w:type="dxa"/>
            <w:left w:w="108" w:type="dxa"/>
            <w:bottom w:w="0" w:type="dxa"/>
            <w:right w:w="108" w:type="dxa"/>
          </w:tblCellMar>
        </w:tblPrEx>
        <w:trPr>
          <w:trHeight w:val="372" w:hRule="atLeast"/>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77CFFFD0">
            <w:pPr>
              <w:jc w:val="center"/>
              <w:rPr>
                <w:rFonts w:ascii="宋体" w:hAnsi="宋体" w:cs="宋体"/>
                <w:kern w:val="0"/>
                <w:sz w:val="18"/>
                <w:szCs w:val="18"/>
              </w:rPr>
            </w:pPr>
          </w:p>
        </w:tc>
        <w:tc>
          <w:tcPr>
            <w:tcW w:w="4311" w:type="dxa"/>
            <w:tcBorders>
              <w:top w:val="single" w:color="auto" w:sz="4" w:space="0"/>
              <w:left w:val="nil"/>
              <w:bottom w:val="single" w:color="auto" w:sz="4" w:space="0"/>
              <w:right w:val="single" w:color="000000" w:sz="4" w:space="0"/>
            </w:tcBorders>
            <w:shd w:val="clear" w:color="000000" w:fill="FFFFFF"/>
            <w:vAlign w:val="center"/>
          </w:tcPr>
          <w:p w14:paraId="44CAB1AB">
            <w:pPr>
              <w:jc w:val="left"/>
              <w:rPr>
                <w:rFonts w:ascii="宋体" w:hAnsi="宋体" w:cs="宋体"/>
                <w:kern w:val="0"/>
                <w:sz w:val="18"/>
                <w:szCs w:val="18"/>
              </w:rPr>
            </w:pPr>
          </w:p>
        </w:tc>
        <w:tc>
          <w:tcPr>
            <w:tcW w:w="3543" w:type="dxa"/>
            <w:tcBorders>
              <w:top w:val="nil"/>
              <w:left w:val="nil"/>
              <w:bottom w:val="single" w:color="auto" w:sz="4" w:space="0"/>
              <w:right w:val="single" w:color="auto" w:sz="4" w:space="0"/>
            </w:tcBorders>
            <w:shd w:val="clear" w:color="000000" w:fill="FFFFFF"/>
            <w:noWrap/>
            <w:vAlign w:val="center"/>
          </w:tcPr>
          <w:p w14:paraId="588CCEA4">
            <w:pPr>
              <w:jc w:val="right"/>
              <w:rPr>
                <w:rFonts w:ascii="宋体" w:hAnsi="宋体" w:cs="宋体"/>
                <w:kern w:val="0"/>
                <w:sz w:val="18"/>
                <w:szCs w:val="18"/>
              </w:rPr>
            </w:pPr>
            <w:r>
              <w:rPr>
                <w:rFonts w:hint="eastAsia" w:ascii="宋体" w:hAnsi="宋体" w:cs="宋体"/>
                <w:kern w:val="0"/>
                <w:sz w:val="18"/>
                <w:szCs w:val="18"/>
              </w:rPr>
              <w:t xml:space="preserve"> </w:t>
            </w:r>
          </w:p>
        </w:tc>
      </w:tr>
      <w:tr w14:paraId="06B561A3">
        <w:tblPrEx>
          <w:tblCellMar>
            <w:top w:w="0" w:type="dxa"/>
            <w:left w:w="108" w:type="dxa"/>
            <w:bottom w:w="0" w:type="dxa"/>
            <w:right w:w="108" w:type="dxa"/>
          </w:tblCellMar>
        </w:tblPrEx>
        <w:trPr>
          <w:trHeight w:val="357"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14:paraId="323D1FB2">
            <w:pPr>
              <w:jc w:val="left"/>
              <w:rPr>
                <w:rFonts w:ascii="宋体" w:hAnsi="宋体" w:cs="宋体"/>
                <w:kern w:val="0"/>
                <w:sz w:val="20"/>
                <w:szCs w:val="20"/>
              </w:rPr>
            </w:pPr>
          </w:p>
        </w:tc>
        <w:tc>
          <w:tcPr>
            <w:tcW w:w="4311" w:type="dxa"/>
            <w:tcBorders>
              <w:top w:val="single" w:color="auto" w:sz="4" w:space="0"/>
              <w:left w:val="nil"/>
              <w:bottom w:val="single" w:color="auto" w:sz="4" w:space="0"/>
              <w:right w:val="single" w:color="000000" w:sz="4" w:space="0"/>
            </w:tcBorders>
            <w:shd w:val="clear" w:color="auto" w:fill="auto"/>
            <w:noWrap/>
            <w:vAlign w:val="center"/>
          </w:tcPr>
          <w:p w14:paraId="1442D09F">
            <w:pPr>
              <w:jc w:val="left"/>
              <w:rPr>
                <w:rFonts w:ascii="宋体" w:hAnsi="宋体" w:cs="宋体"/>
                <w:kern w:val="0"/>
                <w:sz w:val="20"/>
                <w:szCs w:val="20"/>
              </w:rPr>
            </w:pPr>
          </w:p>
        </w:tc>
        <w:tc>
          <w:tcPr>
            <w:tcW w:w="3543" w:type="dxa"/>
            <w:tcBorders>
              <w:top w:val="nil"/>
              <w:left w:val="nil"/>
              <w:bottom w:val="single" w:color="auto" w:sz="4" w:space="0"/>
              <w:right w:val="single" w:color="auto" w:sz="4" w:space="0"/>
            </w:tcBorders>
            <w:shd w:val="clear" w:color="auto" w:fill="auto"/>
            <w:noWrap/>
            <w:vAlign w:val="center"/>
          </w:tcPr>
          <w:p w14:paraId="65F6C522">
            <w:pPr>
              <w:jc w:val="left"/>
              <w:rPr>
                <w:rFonts w:ascii="宋体" w:hAnsi="宋体" w:cs="宋体"/>
                <w:kern w:val="0"/>
                <w:sz w:val="20"/>
                <w:szCs w:val="20"/>
              </w:rPr>
            </w:pPr>
          </w:p>
        </w:tc>
      </w:tr>
      <w:tr w14:paraId="3524B0AE">
        <w:tblPrEx>
          <w:tblCellMar>
            <w:top w:w="0" w:type="dxa"/>
            <w:left w:w="108" w:type="dxa"/>
            <w:bottom w:w="0" w:type="dxa"/>
            <w:right w:w="108" w:type="dxa"/>
          </w:tblCellMar>
        </w:tblPrEx>
        <w:trPr>
          <w:trHeight w:val="357"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14:paraId="46E30153">
            <w:pPr>
              <w:jc w:val="left"/>
              <w:rPr>
                <w:rFonts w:ascii="宋体" w:hAnsi="宋体" w:cs="宋体"/>
                <w:kern w:val="0"/>
                <w:sz w:val="20"/>
                <w:szCs w:val="20"/>
              </w:rPr>
            </w:pPr>
          </w:p>
        </w:tc>
        <w:tc>
          <w:tcPr>
            <w:tcW w:w="4311" w:type="dxa"/>
            <w:tcBorders>
              <w:top w:val="single" w:color="auto" w:sz="4" w:space="0"/>
              <w:left w:val="nil"/>
              <w:bottom w:val="single" w:color="auto" w:sz="4" w:space="0"/>
              <w:right w:val="single" w:color="000000" w:sz="4" w:space="0"/>
            </w:tcBorders>
            <w:shd w:val="clear" w:color="auto" w:fill="auto"/>
            <w:noWrap/>
            <w:vAlign w:val="center"/>
          </w:tcPr>
          <w:p w14:paraId="2E09F6B7">
            <w:pPr>
              <w:jc w:val="left"/>
              <w:rPr>
                <w:rFonts w:ascii="宋体" w:hAnsi="宋体" w:cs="宋体"/>
                <w:kern w:val="0"/>
                <w:sz w:val="20"/>
                <w:szCs w:val="20"/>
              </w:rPr>
            </w:pPr>
          </w:p>
        </w:tc>
        <w:tc>
          <w:tcPr>
            <w:tcW w:w="3543" w:type="dxa"/>
            <w:tcBorders>
              <w:top w:val="nil"/>
              <w:left w:val="nil"/>
              <w:bottom w:val="single" w:color="auto" w:sz="4" w:space="0"/>
              <w:right w:val="single" w:color="auto" w:sz="4" w:space="0"/>
            </w:tcBorders>
            <w:shd w:val="clear" w:color="auto" w:fill="auto"/>
            <w:noWrap/>
            <w:vAlign w:val="center"/>
          </w:tcPr>
          <w:p w14:paraId="386A4EDA">
            <w:pPr>
              <w:jc w:val="left"/>
              <w:rPr>
                <w:rFonts w:ascii="宋体" w:hAnsi="宋体" w:cs="宋体"/>
                <w:kern w:val="0"/>
                <w:sz w:val="20"/>
                <w:szCs w:val="20"/>
              </w:rPr>
            </w:pPr>
          </w:p>
        </w:tc>
      </w:tr>
      <w:tr w14:paraId="21A97281">
        <w:tblPrEx>
          <w:tblCellMar>
            <w:top w:w="0" w:type="dxa"/>
            <w:left w:w="108" w:type="dxa"/>
            <w:bottom w:w="0" w:type="dxa"/>
            <w:right w:w="108" w:type="dxa"/>
          </w:tblCellMar>
        </w:tblPrEx>
        <w:trPr>
          <w:trHeight w:val="342" w:hRule="atLeast"/>
        </w:trPr>
        <w:tc>
          <w:tcPr>
            <w:tcW w:w="4977"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3C1EC2D3">
            <w:pPr>
              <w:jc w:val="center"/>
              <w:rPr>
                <w:rFonts w:ascii="宋体" w:hAnsi="宋体" w:cs="宋体"/>
                <w:kern w:val="0"/>
                <w:sz w:val="18"/>
                <w:szCs w:val="18"/>
              </w:rPr>
            </w:pPr>
            <w:r>
              <w:rPr>
                <w:rFonts w:hint="eastAsia" w:ascii="宋体" w:hAnsi="宋体" w:cs="宋体"/>
                <w:kern w:val="0"/>
                <w:sz w:val="18"/>
                <w:szCs w:val="18"/>
              </w:rPr>
              <w:t xml:space="preserve">   合  计</w:t>
            </w:r>
          </w:p>
        </w:tc>
        <w:tc>
          <w:tcPr>
            <w:tcW w:w="3543" w:type="dxa"/>
            <w:tcBorders>
              <w:top w:val="nil"/>
              <w:left w:val="nil"/>
              <w:bottom w:val="single" w:color="auto" w:sz="4" w:space="0"/>
              <w:right w:val="single" w:color="auto" w:sz="4" w:space="0"/>
            </w:tcBorders>
            <w:shd w:val="clear" w:color="auto" w:fill="auto"/>
            <w:noWrap/>
            <w:vAlign w:val="center"/>
          </w:tcPr>
          <w:p w14:paraId="6A842605">
            <w:pPr>
              <w:jc w:val="left"/>
              <w:rPr>
                <w:rFonts w:ascii="宋体" w:hAnsi="宋体" w:cs="宋体"/>
                <w:kern w:val="0"/>
                <w:sz w:val="20"/>
                <w:szCs w:val="20"/>
              </w:rPr>
            </w:pPr>
          </w:p>
        </w:tc>
      </w:tr>
    </w:tbl>
    <w:p w14:paraId="70FFFB6A">
      <w:pPr>
        <w:pStyle w:val="4"/>
        <w:keepNext w:val="0"/>
        <w:keepLines w:val="0"/>
      </w:pPr>
      <w:r>
        <w:rPr>
          <w:rFonts w:hint="eastAsia"/>
        </w:rPr>
        <w:t>（六）</w:t>
      </w:r>
      <w:r>
        <w:rPr>
          <w:rFonts w:hint="eastAsia"/>
          <w:kern w:val="0"/>
        </w:rPr>
        <w:t>措施项目清单与计价表(一)</w:t>
      </w:r>
    </w:p>
    <w:tbl>
      <w:tblPr>
        <w:tblStyle w:val="55"/>
        <w:tblW w:w="8520" w:type="dxa"/>
        <w:tblInd w:w="93" w:type="dxa"/>
        <w:tblLayout w:type="fixed"/>
        <w:tblCellMar>
          <w:top w:w="0" w:type="dxa"/>
          <w:left w:w="108" w:type="dxa"/>
          <w:bottom w:w="0" w:type="dxa"/>
          <w:right w:w="108" w:type="dxa"/>
        </w:tblCellMar>
      </w:tblPr>
      <w:tblGrid>
        <w:gridCol w:w="430"/>
        <w:gridCol w:w="1145"/>
        <w:gridCol w:w="1417"/>
        <w:gridCol w:w="1559"/>
        <w:gridCol w:w="709"/>
        <w:gridCol w:w="851"/>
        <w:gridCol w:w="992"/>
        <w:gridCol w:w="1417"/>
      </w:tblGrid>
      <w:tr w14:paraId="46E6F26F">
        <w:tblPrEx>
          <w:tblCellMar>
            <w:top w:w="0" w:type="dxa"/>
            <w:left w:w="108" w:type="dxa"/>
            <w:bottom w:w="0" w:type="dxa"/>
            <w:right w:w="108" w:type="dxa"/>
          </w:tblCellMar>
        </w:tblPrEx>
        <w:trPr>
          <w:trHeight w:val="668" w:hRule="atLeast"/>
        </w:trPr>
        <w:tc>
          <w:tcPr>
            <w:tcW w:w="2992" w:type="dxa"/>
            <w:gridSpan w:val="3"/>
            <w:tcBorders>
              <w:top w:val="nil"/>
              <w:left w:val="nil"/>
              <w:bottom w:val="nil"/>
              <w:right w:val="nil"/>
            </w:tcBorders>
            <w:shd w:val="clear" w:color="auto" w:fill="auto"/>
            <w:vAlign w:val="bottom"/>
          </w:tcPr>
          <w:p w14:paraId="2328CE73">
            <w:pPr>
              <w:jc w:val="left"/>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3119" w:type="dxa"/>
            <w:gridSpan w:val="3"/>
            <w:tcBorders>
              <w:top w:val="nil"/>
              <w:left w:val="nil"/>
              <w:bottom w:val="nil"/>
              <w:right w:val="nil"/>
            </w:tcBorders>
            <w:shd w:val="clear" w:color="auto" w:fill="auto"/>
            <w:vAlign w:val="bottom"/>
          </w:tcPr>
          <w:p w14:paraId="4A8187FB">
            <w:pPr>
              <w:jc w:val="left"/>
              <w:rPr>
                <w:rFonts w:ascii="宋体" w:hAnsi="宋体" w:cs="宋体"/>
                <w:kern w:val="0"/>
                <w:sz w:val="20"/>
                <w:szCs w:val="20"/>
              </w:rPr>
            </w:pPr>
            <w:r>
              <w:rPr>
                <w:rFonts w:hint="eastAsia" w:ascii="宋体" w:hAnsi="宋体" w:cs="宋体"/>
                <w:kern w:val="0"/>
                <w:sz w:val="20"/>
                <w:szCs w:val="20"/>
              </w:rPr>
              <w:t xml:space="preserve">        </w:t>
            </w:r>
          </w:p>
        </w:tc>
        <w:tc>
          <w:tcPr>
            <w:tcW w:w="2409" w:type="dxa"/>
            <w:gridSpan w:val="2"/>
            <w:tcBorders>
              <w:top w:val="nil"/>
              <w:left w:val="nil"/>
              <w:bottom w:val="nil"/>
              <w:right w:val="nil"/>
            </w:tcBorders>
            <w:shd w:val="clear" w:color="auto" w:fill="auto"/>
            <w:vAlign w:val="bottom"/>
          </w:tcPr>
          <w:p w14:paraId="0A034170">
            <w:pPr>
              <w:jc w:val="right"/>
              <w:rPr>
                <w:rFonts w:ascii="宋体" w:hAnsi="宋体" w:cs="宋体"/>
                <w:kern w:val="0"/>
                <w:sz w:val="20"/>
                <w:szCs w:val="20"/>
              </w:rPr>
            </w:pPr>
            <w:r>
              <w:rPr>
                <w:rFonts w:hint="eastAsia" w:ascii="宋体" w:hAnsi="宋体" w:cs="宋体"/>
                <w:kern w:val="0"/>
                <w:sz w:val="20"/>
                <w:szCs w:val="20"/>
              </w:rPr>
              <w:t>第1页 共1页</w:t>
            </w:r>
          </w:p>
        </w:tc>
      </w:tr>
      <w:tr w14:paraId="2C9EDE3A">
        <w:tblPrEx>
          <w:tblCellMar>
            <w:top w:w="0" w:type="dxa"/>
            <w:left w:w="108" w:type="dxa"/>
            <w:bottom w:w="0" w:type="dxa"/>
            <w:right w:w="108" w:type="dxa"/>
          </w:tblCellMar>
        </w:tblPrEx>
        <w:trPr>
          <w:trHeight w:val="372" w:hRule="atLeast"/>
        </w:trPr>
        <w:tc>
          <w:tcPr>
            <w:tcW w:w="430"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14:paraId="1C8F8FD4">
            <w:pPr>
              <w:jc w:val="center"/>
              <w:rPr>
                <w:rFonts w:ascii="宋体" w:hAnsi="宋体" w:cs="宋体"/>
                <w:kern w:val="0"/>
                <w:sz w:val="20"/>
                <w:szCs w:val="20"/>
              </w:rPr>
            </w:pPr>
            <w:r>
              <w:rPr>
                <w:rFonts w:hint="eastAsia" w:ascii="宋体" w:hAnsi="宋体" w:cs="宋体"/>
                <w:kern w:val="0"/>
                <w:sz w:val="20"/>
                <w:szCs w:val="20"/>
              </w:rPr>
              <w:t>序号</w:t>
            </w:r>
          </w:p>
        </w:tc>
        <w:tc>
          <w:tcPr>
            <w:tcW w:w="1145"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2772F46A">
            <w:pPr>
              <w:jc w:val="center"/>
              <w:rPr>
                <w:rFonts w:ascii="宋体" w:hAnsi="宋体" w:cs="宋体"/>
                <w:kern w:val="0"/>
                <w:sz w:val="20"/>
                <w:szCs w:val="20"/>
              </w:rPr>
            </w:pPr>
            <w:r>
              <w:rPr>
                <w:rFonts w:hint="eastAsia" w:ascii="宋体" w:hAnsi="宋体" w:cs="宋体"/>
                <w:kern w:val="0"/>
                <w:sz w:val="20"/>
                <w:szCs w:val="20"/>
              </w:rPr>
              <w:t>项目编码</w:t>
            </w:r>
          </w:p>
        </w:tc>
        <w:tc>
          <w:tcPr>
            <w:tcW w:w="1417"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77953E79">
            <w:pPr>
              <w:jc w:val="center"/>
              <w:rPr>
                <w:rFonts w:ascii="宋体" w:hAnsi="宋体" w:cs="宋体"/>
                <w:kern w:val="0"/>
                <w:sz w:val="20"/>
                <w:szCs w:val="20"/>
              </w:rPr>
            </w:pPr>
            <w:r>
              <w:rPr>
                <w:rFonts w:hint="eastAsia" w:ascii="宋体" w:hAnsi="宋体" w:cs="宋体"/>
                <w:kern w:val="0"/>
                <w:sz w:val="20"/>
                <w:szCs w:val="20"/>
              </w:rPr>
              <w:t>项目名称</w:t>
            </w:r>
          </w:p>
        </w:tc>
        <w:tc>
          <w:tcPr>
            <w:tcW w:w="1559"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3B5326C6">
            <w:pPr>
              <w:jc w:val="center"/>
              <w:rPr>
                <w:rFonts w:ascii="宋体" w:hAnsi="宋体" w:cs="宋体"/>
                <w:kern w:val="0"/>
                <w:sz w:val="20"/>
                <w:szCs w:val="20"/>
              </w:rPr>
            </w:pPr>
            <w:r>
              <w:rPr>
                <w:rFonts w:hint="eastAsia" w:ascii="宋体" w:hAnsi="宋体" w:cs="宋体"/>
                <w:kern w:val="0"/>
                <w:sz w:val="20"/>
                <w:szCs w:val="20"/>
              </w:rPr>
              <w:t>项目特征描述</w:t>
            </w:r>
          </w:p>
        </w:tc>
        <w:tc>
          <w:tcPr>
            <w:tcW w:w="709"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0E634C48">
            <w:pPr>
              <w:jc w:val="center"/>
              <w:rPr>
                <w:rFonts w:ascii="宋体" w:hAnsi="宋体" w:cs="宋体"/>
                <w:kern w:val="0"/>
                <w:sz w:val="20"/>
                <w:szCs w:val="20"/>
              </w:rPr>
            </w:pPr>
            <w:r>
              <w:rPr>
                <w:rFonts w:hint="eastAsia" w:ascii="宋体" w:hAnsi="宋体" w:cs="宋体"/>
                <w:kern w:val="0"/>
                <w:sz w:val="20"/>
                <w:szCs w:val="20"/>
              </w:rPr>
              <w:t>计量</w:t>
            </w:r>
            <w:r>
              <w:rPr>
                <w:rFonts w:hint="eastAsia" w:ascii="宋体" w:hAnsi="宋体" w:cs="宋体"/>
                <w:kern w:val="0"/>
                <w:sz w:val="20"/>
                <w:szCs w:val="20"/>
              </w:rPr>
              <w:br w:type="textWrapping"/>
            </w:r>
            <w:r>
              <w:rPr>
                <w:rFonts w:hint="eastAsia" w:ascii="宋体" w:hAnsi="宋体" w:cs="宋体"/>
                <w:kern w:val="0"/>
                <w:sz w:val="20"/>
                <w:szCs w:val="20"/>
              </w:rPr>
              <w:t>单位</w:t>
            </w:r>
          </w:p>
        </w:tc>
        <w:tc>
          <w:tcPr>
            <w:tcW w:w="851"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2680A3CC">
            <w:pPr>
              <w:jc w:val="center"/>
              <w:rPr>
                <w:rFonts w:ascii="宋体" w:hAnsi="宋体" w:cs="宋体"/>
                <w:kern w:val="0"/>
                <w:sz w:val="20"/>
                <w:szCs w:val="20"/>
              </w:rPr>
            </w:pPr>
            <w:r>
              <w:rPr>
                <w:rFonts w:hint="eastAsia" w:ascii="宋体" w:hAnsi="宋体" w:cs="宋体"/>
                <w:kern w:val="0"/>
                <w:sz w:val="20"/>
                <w:szCs w:val="20"/>
              </w:rPr>
              <w:t>工程量</w:t>
            </w:r>
          </w:p>
        </w:tc>
        <w:tc>
          <w:tcPr>
            <w:tcW w:w="2409" w:type="dxa"/>
            <w:gridSpan w:val="2"/>
            <w:tcBorders>
              <w:top w:val="single" w:color="auto" w:sz="4" w:space="0"/>
              <w:left w:val="nil"/>
              <w:bottom w:val="single" w:color="000000" w:sz="4" w:space="0"/>
              <w:right w:val="single" w:color="000000" w:sz="4" w:space="0"/>
            </w:tcBorders>
            <w:shd w:val="clear" w:color="000000" w:fill="FFFFFF"/>
            <w:noWrap/>
            <w:vAlign w:val="center"/>
          </w:tcPr>
          <w:p w14:paraId="56A73869">
            <w:pPr>
              <w:jc w:val="center"/>
              <w:rPr>
                <w:rFonts w:ascii="宋体" w:hAnsi="宋体" w:cs="宋体"/>
                <w:kern w:val="0"/>
                <w:sz w:val="20"/>
                <w:szCs w:val="20"/>
              </w:rPr>
            </w:pPr>
            <w:r>
              <w:rPr>
                <w:rFonts w:hint="eastAsia" w:ascii="宋体" w:hAnsi="宋体" w:cs="宋体"/>
                <w:kern w:val="0"/>
                <w:sz w:val="20"/>
                <w:szCs w:val="20"/>
              </w:rPr>
              <w:t>金额(元)</w:t>
            </w:r>
          </w:p>
        </w:tc>
      </w:tr>
      <w:tr w14:paraId="0D53B32D">
        <w:tblPrEx>
          <w:tblCellMar>
            <w:top w:w="0" w:type="dxa"/>
            <w:left w:w="108" w:type="dxa"/>
            <w:bottom w:w="0" w:type="dxa"/>
            <w:right w:w="108" w:type="dxa"/>
          </w:tblCellMar>
        </w:tblPrEx>
        <w:trPr>
          <w:trHeight w:val="372" w:hRule="atLeast"/>
        </w:trPr>
        <w:tc>
          <w:tcPr>
            <w:tcW w:w="430"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693E3B5">
            <w:pPr>
              <w:jc w:val="left"/>
              <w:rPr>
                <w:rFonts w:ascii="宋体" w:hAnsi="宋体" w:cs="宋体"/>
                <w:kern w:val="0"/>
                <w:sz w:val="20"/>
                <w:szCs w:val="20"/>
              </w:rPr>
            </w:pPr>
          </w:p>
        </w:tc>
        <w:tc>
          <w:tcPr>
            <w:tcW w:w="114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2831AAA3">
            <w:pPr>
              <w:jc w:val="left"/>
              <w:rPr>
                <w:rFonts w:ascii="宋体" w:hAnsi="宋体" w:cs="宋体"/>
                <w:kern w:val="0"/>
                <w:sz w:val="20"/>
                <w:szCs w:val="20"/>
              </w:rPr>
            </w:pPr>
          </w:p>
        </w:tc>
        <w:tc>
          <w:tcPr>
            <w:tcW w:w="141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2AF8250">
            <w:pPr>
              <w:jc w:val="left"/>
              <w:rPr>
                <w:rFonts w:ascii="宋体" w:hAnsi="宋体" w:cs="宋体"/>
                <w:kern w:val="0"/>
                <w:sz w:val="20"/>
                <w:szCs w:val="20"/>
              </w:rPr>
            </w:pPr>
          </w:p>
        </w:tc>
        <w:tc>
          <w:tcPr>
            <w:tcW w:w="155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230B0538">
            <w:pPr>
              <w:jc w:val="left"/>
              <w:rPr>
                <w:rFonts w:ascii="宋体" w:hAnsi="宋体" w:cs="宋体"/>
                <w:kern w:val="0"/>
                <w:sz w:val="20"/>
                <w:szCs w:val="20"/>
              </w:rPr>
            </w:pPr>
          </w:p>
        </w:tc>
        <w:tc>
          <w:tcPr>
            <w:tcW w:w="70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516D783">
            <w:pPr>
              <w:jc w:val="left"/>
              <w:rPr>
                <w:rFonts w:ascii="宋体" w:hAnsi="宋体" w:cs="宋体"/>
                <w:kern w:val="0"/>
                <w:sz w:val="20"/>
                <w:szCs w:val="20"/>
              </w:rPr>
            </w:pPr>
          </w:p>
        </w:tc>
        <w:tc>
          <w:tcPr>
            <w:tcW w:w="85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2004518">
            <w:pPr>
              <w:jc w:val="left"/>
              <w:rPr>
                <w:rFonts w:ascii="宋体" w:hAnsi="宋体" w:cs="宋体"/>
                <w:kern w:val="0"/>
                <w:sz w:val="20"/>
                <w:szCs w:val="20"/>
              </w:rPr>
            </w:pPr>
          </w:p>
        </w:tc>
        <w:tc>
          <w:tcPr>
            <w:tcW w:w="992" w:type="dxa"/>
            <w:tcBorders>
              <w:top w:val="nil"/>
              <w:left w:val="nil"/>
              <w:bottom w:val="single" w:color="000000" w:sz="4" w:space="0"/>
              <w:right w:val="single" w:color="000000" w:sz="4" w:space="0"/>
            </w:tcBorders>
            <w:shd w:val="clear" w:color="000000" w:fill="FFFFFF"/>
            <w:noWrap/>
            <w:vAlign w:val="center"/>
          </w:tcPr>
          <w:p w14:paraId="5B288542">
            <w:pPr>
              <w:jc w:val="center"/>
              <w:rPr>
                <w:rFonts w:ascii="宋体" w:hAnsi="宋体" w:cs="宋体"/>
                <w:kern w:val="0"/>
                <w:sz w:val="20"/>
                <w:szCs w:val="20"/>
              </w:rPr>
            </w:pPr>
            <w:r>
              <w:rPr>
                <w:rFonts w:hint="eastAsia" w:ascii="宋体" w:hAnsi="宋体" w:cs="宋体"/>
                <w:kern w:val="0"/>
                <w:sz w:val="20"/>
                <w:szCs w:val="20"/>
              </w:rPr>
              <w:t>综合单价</w:t>
            </w:r>
          </w:p>
        </w:tc>
        <w:tc>
          <w:tcPr>
            <w:tcW w:w="1417" w:type="dxa"/>
            <w:tcBorders>
              <w:top w:val="nil"/>
              <w:left w:val="nil"/>
              <w:bottom w:val="single" w:color="000000" w:sz="4" w:space="0"/>
              <w:right w:val="single" w:color="auto" w:sz="4" w:space="0"/>
            </w:tcBorders>
            <w:shd w:val="clear" w:color="000000" w:fill="FFFFFF"/>
            <w:noWrap/>
            <w:vAlign w:val="center"/>
          </w:tcPr>
          <w:p w14:paraId="0087792E">
            <w:pPr>
              <w:jc w:val="center"/>
              <w:rPr>
                <w:rFonts w:ascii="宋体" w:hAnsi="宋体" w:cs="宋体"/>
                <w:kern w:val="0"/>
                <w:sz w:val="20"/>
                <w:szCs w:val="20"/>
              </w:rPr>
            </w:pPr>
            <w:r>
              <w:rPr>
                <w:rFonts w:hint="eastAsia" w:ascii="宋体" w:hAnsi="宋体" w:cs="宋体"/>
                <w:kern w:val="0"/>
                <w:sz w:val="20"/>
                <w:szCs w:val="20"/>
              </w:rPr>
              <w:t>合价</w:t>
            </w:r>
          </w:p>
        </w:tc>
      </w:tr>
      <w:tr w14:paraId="51526D7F">
        <w:tblPrEx>
          <w:tblCellMar>
            <w:top w:w="0" w:type="dxa"/>
            <w:left w:w="108" w:type="dxa"/>
            <w:bottom w:w="0" w:type="dxa"/>
            <w:right w:w="108" w:type="dxa"/>
          </w:tblCellMar>
        </w:tblPrEx>
        <w:trPr>
          <w:trHeight w:val="342"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0AC43">
            <w:pPr>
              <w:jc w:val="left"/>
              <w:rPr>
                <w:rFonts w:ascii="宋体" w:hAnsi="宋体" w:cs="宋体"/>
                <w:kern w:val="0"/>
                <w:sz w:val="20"/>
                <w:szCs w:val="20"/>
              </w:rPr>
            </w:pPr>
          </w:p>
        </w:tc>
        <w:tc>
          <w:tcPr>
            <w:tcW w:w="1145" w:type="dxa"/>
            <w:tcBorders>
              <w:top w:val="single" w:color="auto" w:sz="4" w:space="0"/>
              <w:left w:val="nil"/>
              <w:bottom w:val="single" w:color="auto" w:sz="4" w:space="0"/>
              <w:right w:val="single" w:color="auto" w:sz="4" w:space="0"/>
            </w:tcBorders>
            <w:shd w:val="clear" w:color="auto" w:fill="auto"/>
            <w:noWrap/>
            <w:vAlign w:val="center"/>
          </w:tcPr>
          <w:p w14:paraId="3E6E630F">
            <w:pPr>
              <w:jc w:val="left"/>
              <w:rPr>
                <w:rFonts w:ascii="宋体" w:hAnsi="宋体" w:cs="宋体"/>
                <w:kern w:val="0"/>
                <w:sz w:val="20"/>
                <w:szCs w:val="20"/>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567ECAEB">
            <w:pPr>
              <w:jc w:val="left"/>
              <w:rPr>
                <w:rFonts w:ascii="宋体" w:hAnsi="宋体" w:cs="宋体"/>
                <w:kern w:val="0"/>
                <w:sz w:val="20"/>
                <w:szCs w:val="20"/>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4EDF0D0">
            <w:pPr>
              <w:jc w:val="left"/>
              <w:rPr>
                <w:rFonts w:ascii="宋体" w:hAnsi="宋体" w:cs="宋体"/>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E5ADBF3">
            <w:pPr>
              <w:jc w:val="left"/>
              <w:rPr>
                <w:rFonts w:ascii="宋体" w:hAnsi="宋体" w:cs="宋体"/>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2588D81C">
            <w:pPr>
              <w:jc w:val="left"/>
              <w:rPr>
                <w:rFonts w:ascii="宋体" w:hAnsi="宋体" w:cs="宋体"/>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3841E0A">
            <w:pPr>
              <w:jc w:val="left"/>
              <w:rPr>
                <w:rFonts w:ascii="宋体" w:hAnsi="宋体" w:cs="宋体"/>
                <w:kern w:val="0"/>
                <w:sz w:val="20"/>
                <w:szCs w:val="20"/>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75546043">
            <w:pPr>
              <w:jc w:val="left"/>
              <w:rPr>
                <w:rFonts w:ascii="宋体" w:hAnsi="宋体" w:cs="宋体"/>
                <w:kern w:val="0"/>
                <w:sz w:val="20"/>
                <w:szCs w:val="20"/>
              </w:rPr>
            </w:pPr>
          </w:p>
        </w:tc>
      </w:tr>
      <w:tr w14:paraId="1C11AD4C">
        <w:tblPrEx>
          <w:tblCellMar>
            <w:top w:w="0" w:type="dxa"/>
            <w:left w:w="108" w:type="dxa"/>
            <w:bottom w:w="0" w:type="dxa"/>
            <w:right w:w="108" w:type="dxa"/>
          </w:tblCellMar>
        </w:tblPrEx>
        <w:trPr>
          <w:trHeight w:val="342"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340C209D">
            <w:pPr>
              <w:jc w:val="left"/>
              <w:rPr>
                <w:rFonts w:ascii="宋体" w:hAnsi="宋体" w:cs="宋体"/>
                <w:kern w:val="0"/>
                <w:sz w:val="20"/>
                <w:szCs w:val="20"/>
              </w:rPr>
            </w:pPr>
          </w:p>
        </w:tc>
        <w:tc>
          <w:tcPr>
            <w:tcW w:w="1145" w:type="dxa"/>
            <w:tcBorders>
              <w:top w:val="nil"/>
              <w:left w:val="nil"/>
              <w:bottom w:val="single" w:color="auto" w:sz="4" w:space="0"/>
              <w:right w:val="single" w:color="auto" w:sz="4" w:space="0"/>
            </w:tcBorders>
            <w:shd w:val="clear" w:color="auto" w:fill="auto"/>
            <w:noWrap/>
            <w:vAlign w:val="center"/>
          </w:tcPr>
          <w:p w14:paraId="4FA945D8">
            <w:pPr>
              <w:jc w:val="left"/>
              <w:rPr>
                <w:rFonts w:ascii="宋体" w:hAnsi="宋体" w:cs="宋体"/>
                <w:kern w:val="0"/>
                <w:sz w:val="20"/>
                <w:szCs w:val="20"/>
              </w:rPr>
            </w:pPr>
          </w:p>
        </w:tc>
        <w:tc>
          <w:tcPr>
            <w:tcW w:w="1417" w:type="dxa"/>
            <w:tcBorders>
              <w:top w:val="nil"/>
              <w:left w:val="nil"/>
              <w:bottom w:val="single" w:color="auto" w:sz="4" w:space="0"/>
              <w:right w:val="single" w:color="auto" w:sz="4" w:space="0"/>
            </w:tcBorders>
            <w:shd w:val="clear" w:color="auto" w:fill="auto"/>
            <w:noWrap/>
            <w:vAlign w:val="center"/>
          </w:tcPr>
          <w:p w14:paraId="4F7ED3D1">
            <w:pPr>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7E14E2E1">
            <w:pPr>
              <w:jc w:val="left"/>
              <w:rPr>
                <w:rFonts w:ascii="宋体" w:hAnsi="宋体"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722AFCA3">
            <w:pPr>
              <w:jc w:val="left"/>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5E9334D9">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16ABCF3B">
            <w:pPr>
              <w:jc w:val="left"/>
              <w:rPr>
                <w:rFonts w:ascii="宋体" w:hAnsi="宋体" w:cs="宋体"/>
                <w:kern w:val="0"/>
                <w:sz w:val="20"/>
                <w:szCs w:val="20"/>
              </w:rPr>
            </w:pPr>
          </w:p>
        </w:tc>
        <w:tc>
          <w:tcPr>
            <w:tcW w:w="1417" w:type="dxa"/>
            <w:tcBorders>
              <w:top w:val="nil"/>
              <w:left w:val="nil"/>
              <w:bottom w:val="single" w:color="auto" w:sz="4" w:space="0"/>
              <w:right w:val="single" w:color="auto" w:sz="4" w:space="0"/>
            </w:tcBorders>
            <w:shd w:val="clear" w:color="auto" w:fill="auto"/>
            <w:noWrap/>
            <w:vAlign w:val="center"/>
          </w:tcPr>
          <w:p w14:paraId="4E1AFB4C">
            <w:pPr>
              <w:jc w:val="left"/>
              <w:rPr>
                <w:rFonts w:ascii="宋体" w:hAnsi="宋体" w:cs="宋体"/>
                <w:kern w:val="0"/>
                <w:sz w:val="20"/>
                <w:szCs w:val="20"/>
              </w:rPr>
            </w:pPr>
          </w:p>
        </w:tc>
      </w:tr>
      <w:tr w14:paraId="1826B5C0">
        <w:tblPrEx>
          <w:tblCellMar>
            <w:top w:w="0" w:type="dxa"/>
            <w:left w:w="108" w:type="dxa"/>
            <w:bottom w:w="0" w:type="dxa"/>
            <w:right w:w="108" w:type="dxa"/>
          </w:tblCellMar>
        </w:tblPrEx>
        <w:trPr>
          <w:trHeight w:val="342"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592D0989">
            <w:pPr>
              <w:jc w:val="left"/>
              <w:rPr>
                <w:rFonts w:ascii="宋体" w:hAnsi="宋体" w:cs="宋体"/>
                <w:kern w:val="0"/>
                <w:sz w:val="20"/>
                <w:szCs w:val="20"/>
              </w:rPr>
            </w:pPr>
          </w:p>
        </w:tc>
        <w:tc>
          <w:tcPr>
            <w:tcW w:w="1145" w:type="dxa"/>
            <w:tcBorders>
              <w:top w:val="nil"/>
              <w:left w:val="nil"/>
              <w:bottom w:val="single" w:color="auto" w:sz="4" w:space="0"/>
              <w:right w:val="single" w:color="auto" w:sz="4" w:space="0"/>
            </w:tcBorders>
            <w:shd w:val="clear" w:color="auto" w:fill="auto"/>
            <w:noWrap/>
            <w:vAlign w:val="center"/>
          </w:tcPr>
          <w:p w14:paraId="67056C1F">
            <w:pPr>
              <w:jc w:val="left"/>
              <w:rPr>
                <w:rFonts w:ascii="宋体" w:hAnsi="宋体" w:cs="宋体"/>
                <w:kern w:val="0"/>
                <w:sz w:val="20"/>
                <w:szCs w:val="20"/>
              </w:rPr>
            </w:pPr>
          </w:p>
        </w:tc>
        <w:tc>
          <w:tcPr>
            <w:tcW w:w="1417" w:type="dxa"/>
            <w:tcBorders>
              <w:top w:val="nil"/>
              <w:left w:val="nil"/>
              <w:bottom w:val="single" w:color="auto" w:sz="4" w:space="0"/>
              <w:right w:val="single" w:color="auto" w:sz="4" w:space="0"/>
            </w:tcBorders>
            <w:shd w:val="clear" w:color="auto" w:fill="auto"/>
            <w:noWrap/>
            <w:vAlign w:val="center"/>
          </w:tcPr>
          <w:p w14:paraId="5A9555E8">
            <w:pPr>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7907D9E1">
            <w:pPr>
              <w:jc w:val="left"/>
              <w:rPr>
                <w:rFonts w:ascii="宋体" w:hAnsi="宋体"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439EA6B1">
            <w:pPr>
              <w:jc w:val="left"/>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7AF68BF4">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6B135E54">
            <w:pPr>
              <w:jc w:val="left"/>
              <w:rPr>
                <w:rFonts w:ascii="宋体" w:hAnsi="宋体" w:cs="宋体"/>
                <w:kern w:val="0"/>
                <w:sz w:val="20"/>
                <w:szCs w:val="20"/>
              </w:rPr>
            </w:pPr>
          </w:p>
        </w:tc>
        <w:tc>
          <w:tcPr>
            <w:tcW w:w="1417" w:type="dxa"/>
            <w:tcBorders>
              <w:top w:val="nil"/>
              <w:left w:val="nil"/>
              <w:bottom w:val="single" w:color="auto" w:sz="4" w:space="0"/>
              <w:right w:val="single" w:color="auto" w:sz="4" w:space="0"/>
            </w:tcBorders>
            <w:shd w:val="clear" w:color="auto" w:fill="auto"/>
            <w:noWrap/>
            <w:vAlign w:val="center"/>
          </w:tcPr>
          <w:p w14:paraId="3B8D3534">
            <w:pPr>
              <w:jc w:val="left"/>
              <w:rPr>
                <w:rFonts w:ascii="宋体" w:hAnsi="宋体" w:cs="宋体"/>
                <w:kern w:val="0"/>
                <w:sz w:val="20"/>
                <w:szCs w:val="20"/>
              </w:rPr>
            </w:pPr>
          </w:p>
        </w:tc>
      </w:tr>
      <w:tr w14:paraId="7AF321DC">
        <w:tblPrEx>
          <w:tblCellMar>
            <w:top w:w="0" w:type="dxa"/>
            <w:left w:w="108" w:type="dxa"/>
            <w:bottom w:w="0" w:type="dxa"/>
            <w:right w:w="108" w:type="dxa"/>
          </w:tblCellMar>
        </w:tblPrEx>
        <w:trPr>
          <w:trHeight w:val="342" w:hRule="atLeast"/>
        </w:trPr>
        <w:tc>
          <w:tcPr>
            <w:tcW w:w="7103"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578FDA4C">
            <w:pPr>
              <w:jc w:val="center"/>
              <w:rPr>
                <w:rFonts w:ascii="宋体" w:hAnsi="宋体" w:cs="宋体"/>
                <w:kern w:val="0"/>
                <w:sz w:val="20"/>
                <w:szCs w:val="20"/>
              </w:rPr>
            </w:pPr>
            <w:r>
              <w:rPr>
                <w:rFonts w:hint="eastAsia" w:ascii="宋体" w:hAnsi="宋体" w:cs="宋体"/>
                <w:kern w:val="0"/>
                <w:sz w:val="20"/>
                <w:szCs w:val="20"/>
              </w:rPr>
              <w:t>本页小计</w:t>
            </w:r>
          </w:p>
        </w:tc>
        <w:tc>
          <w:tcPr>
            <w:tcW w:w="1417" w:type="dxa"/>
            <w:tcBorders>
              <w:top w:val="nil"/>
              <w:left w:val="nil"/>
              <w:bottom w:val="single" w:color="auto" w:sz="4" w:space="0"/>
              <w:right w:val="single" w:color="auto" w:sz="4" w:space="0"/>
            </w:tcBorders>
            <w:shd w:val="clear" w:color="auto" w:fill="auto"/>
            <w:noWrap/>
            <w:vAlign w:val="center"/>
          </w:tcPr>
          <w:p w14:paraId="0E3B0ED1">
            <w:pPr>
              <w:jc w:val="right"/>
              <w:rPr>
                <w:rFonts w:ascii="宋体" w:hAnsi="宋体" w:cs="宋体"/>
                <w:kern w:val="0"/>
                <w:sz w:val="20"/>
                <w:szCs w:val="20"/>
              </w:rPr>
            </w:pPr>
            <w:r>
              <w:rPr>
                <w:rFonts w:hint="eastAsia" w:ascii="宋体" w:hAnsi="宋体" w:cs="宋体"/>
                <w:kern w:val="0"/>
                <w:sz w:val="20"/>
                <w:szCs w:val="20"/>
              </w:rPr>
              <w:t>　</w:t>
            </w:r>
          </w:p>
        </w:tc>
      </w:tr>
      <w:tr w14:paraId="726C203C">
        <w:tblPrEx>
          <w:tblCellMar>
            <w:top w:w="0" w:type="dxa"/>
            <w:left w:w="108" w:type="dxa"/>
            <w:bottom w:w="0" w:type="dxa"/>
            <w:right w:w="108" w:type="dxa"/>
          </w:tblCellMar>
        </w:tblPrEx>
        <w:trPr>
          <w:trHeight w:val="342" w:hRule="atLeast"/>
        </w:trPr>
        <w:tc>
          <w:tcPr>
            <w:tcW w:w="7103"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14:paraId="7AFB2016">
            <w:pPr>
              <w:jc w:val="center"/>
              <w:rPr>
                <w:rFonts w:ascii="宋体" w:hAnsi="宋体" w:cs="宋体"/>
                <w:kern w:val="0"/>
                <w:sz w:val="18"/>
                <w:szCs w:val="18"/>
              </w:rPr>
            </w:pPr>
            <w:r>
              <w:rPr>
                <w:rFonts w:hint="eastAsia" w:ascii="宋体" w:hAnsi="宋体" w:cs="宋体"/>
                <w:kern w:val="0"/>
                <w:sz w:val="18"/>
                <w:szCs w:val="18"/>
              </w:rPr>
              <w:t xml:space="preserve">   合  计</w:t>
            </w:r>
          </w:p>
        </w:tc>
        <w:tc>
          <w:tcPr>
            <w:tcW w:w="1417" w:type="dxa"/>
            <w:tcBorders>
              <w:top w:val="nil"/>
              <w:left w:val="nil"/>
              <w:bottom w:val="single" w:color="auto" w:sz="4" w:space="0"/>
              <w:right w:val="single" w:color="auto" w:sz="4" w:space="0"/>
            </w:tcBorders>
            <w:shd w:val="clear" w:color="000000" w:fill="FFFFFF"/>
            <w:noWrap/>
            <w:vAlign w:val="center"/>
          </w:tcPr>
          <w:p w14:paraId="362307F6">
            <w:pPr>
              <w:jc w:val="right"/>
              <w:rPr>
                <w:rFonts w:ascii="宋体" w:hAnsi="宋体" w:cs="宋体"/>
                <w:kern w:val="0"/>
                <w:sz w:val="18"/>
                <w:szCs w:val="18"/>
              </w:rPr>
            </w:pPr>
            <w:r>
              <w:rPr>
                <w:rFonts w:hint="eastAsia" w:ascii="宋体" w:hAnsi="宋体" w:cs="宋体"/>
                <w:kern w:val="0"/>
                <w:sz w:val="18"/>
                <w:szCs w:val="18"/>
              </w:rPr>
              <w:t xml:space="preserve"> </w:t>
            </w:r>
          </w:p>
        </w:tc>
      </w:tr>
    </w:tbl>
    <w:p w14:paraId="517EF6F9">
      <w:pPr>
        <w:pStyle w:val="4"/>
        <w:keepNext w:val="0"/>
        <w:keepLines w:val="0"/>
      </w:pPr>
      <w:r>
        <w:rPr>
          <w:rFonts w:hint="eastAsia"/>
        </w:rPr>
        <w:t>（七）</w:t>
      </w:r>
      <w:r>
        <w:rPr>
          <w:rFonts w:hint="eastAsia"/>
          <w:kern w:val="0"/>
        </w:rPr>
        <w:t>安全文明施工措施费详细清单与计价表</w:t>
      </w:r>
    </w:p>
    <w:tbl>
      <w:tblPr>
        <w:tblStyle w:val="55"/>
        <w:tblW w:w="8748" w:type="dxa"/>
        <w:tblInd w:w="93" w:type="dxa"/>
        <w:tblLayout w:type="fixed"/>
        <w:tblCellMar>
          <w:top w:w="0" w:type="dxa"/>
          <w:left w:w="108" w:type="dxa"/>
          <w:bottom w:w="0" w:type="dxa"/>
          <w:right w:w="108" w:type="dxa"/>
        </w:tblCellMar>
      </w:tblPr>
      <w:tblGrid>
        <w:gridCol w:w="416"/>
        <w:gridCol w:w="1159"/>
        <w:gridCol w:w="1559"/>
        <w:gridCol w:w="1701"/>
        <w:gridCol w:w="992"/>
        <w:gridCol w:w="709"/>
        <w:gridCol w:w="1196"/>
        <w:gridCol w:w="1016"/>
      </w:tblGrid>
      <w:tr w14:paraId="20379580">
        <w:tblPrEx>
          <w:tblCellMar>
            <w:top w:w="0" w:type="dxa"/>
            <w:left w:w="108" w:type="dxa"/>
            <w:bottom w:w="0" w:type="dxa"/>
            <w:right w:w="108" w:type="dxa"/>
          </w:tblCellMar>
        </w:tblPrEx>
        <w:trPr>
          <w:trHeight w:val="668" w:hRule="atLeast"/>
        </w:trPr>
        <w:tc>
          <w:tcPr>
            <w:tcW w:w="3134" w:type="dxa"/>
            <w:gridSpan w:val="3"/>
            <w:tcBorders>
              <w:top w:val="nil"/>
              <w:left w:val="nil"/>
              <w:bottom w:val="nil"/>
              <w:right w:val="nil"/>
            </w:tcBorders>
            <w:shd w:val="clear" w:color="auto" w:fill="auto"/>
            <w:vAlign w:val="bottom"/>
          </w:tcPr>
          <w:p w14:paraId="5C8E2FF7">
            <w:pPr>
              <w:jc w:val="left"/>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3402" w:type="dxa"/>
            <w:gridSpan w:val="3"/>
            <w:tcBorders>
              <w:top w:val="nil"/>
              <w:left w:val="nil"/>
              <w:bottom w:val="nil"/>
              <w:right w:val="nil"/>
            </w:tcBorders>
            <w:shd w:val="clear" w:color="auto" w:fill="auto"/>
            <w:vAlign w:val="bottom"/>
          </w:tcPr>
          <w:p w14:paraId="148570B8">
            <w:pPr>
              <w:jc w:val="left"/>
              <w:rPr>
                <w:rFonts w:ascii="宋体" w:hAnsi="宋体" w:cs="宋体"/>
                <w:kern w:val="0"/>
                <w:sz w:val="20"/>
                <w:szCs w:val="20"/>
              </w:rPr>
            </w:pPr>
            <w:r>
              <w:rPr>
                <w:rFonts w:hint="eastAsia" w:ascii="宋体" w:hAnsi="宋体" w:cs="宋体"/>
                <w:kern w:val="0"/>
                <w:sz w:val="20"/>
                <w:szCs w:val="20"/>
              </w:rPr>
              <w:t xml:space="preserve">       </w:t>
            </w:r>
          </w:p>
        </w:tc>
        <w:tc>
          <w:tcPr>
            <w:tcW w:w="2212" w:type="dxa"/>
            <w:gridSpan w:val="2"/>
            <w:tcBorders>
              <w:top w:val="nil"/>
              <w:left w:val="nil"/>
              <w:bottom w:val="nil"/>
              <w:right w:val="nil"/>
            </w:tcBorders>
            <w:shd w:val="clear" w:color="auto" w:fill="auto"/>
            <w:vAlign w:val="bottom"/>
          </w:tcPr>
          <w:p w14:paraId="75091AD7">
            <w:pPr>
              <w:jc w:val="right"/>
              <w:rPr>
                <w:rFonts w:ascii="宋体" w:hAnsi="宋体" w:cs="宋体"/>
                <w:kern w:val="0"/>
                <w:sz w:val="20"/>
                <w:szCs w:val="20"/>
              </w:rPr>
            </w:pPr>
            <w:r>
              <w:rPr>
                <w:rFonts w:hint="eastAsia" w:ascii="宋体" w:hAnsi="宋体" w:cs="宋体"/>
                <w:kern w:val="0"/>
                <w:sz w:val="20"/>
                <w:szCs w:val="20"/>
              </w:rPr>
              <w:t>第1页 共1页</w:t>
            </w:r>
          </w:p>
        </w:tc>
      </w:tr>
      <w:tr w14:paraId="2C625C59">
        <w:tblPrEx>
          <w:tblCellMar>
            <w:top w:w="0" w:type="dxa"/>
            <w:left w:w="108" w:type="dxa"/>
            <w:bottom w:w="0" w:type="dxa"/>
            <w:right w:w="108" w:type="dxa"/>
          </w:tblCellMar>
        </w:tblPrEx>
        <w:trPr>
          <w:trHeight w:val="372" w:hRule="atLeast"/>
        </w:trPr>
        <w:tc>
          <w:tcPr>
            <w:tcW w:w="416"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14:paraId="19CD950D">
            <w:pPr>
              <w:jc w:val="center"/>
              <w:rPr>
                <w:rFonts w:ascii="宋体" w:hAnsi="宋体" w:cs="宋体"/>
                <w:kern w:val="0"/>
                <w:sz w:val="20"/>
                <w:szCs w:val="20"/>
              </w:rPr>
            </w:pPr>
            <w:r>
              <w:rPr>
                <w:rFonts w:hint="eastAsia" w:ascii="宋体" w:hAnsi="宋体" w:cs="宋体"/>
                <w:kern w:val="0"/>
                <w:sz w:val="20"/>
                <w:szCs w:val="20"/>
              </w:rPr>
              <w:t>序</w:t>
            </w:r>
            <w:r>
              <w:rPr>
                <w:rFonts w:hint="eastAsia" w:ascii="宋体" w:hAnsi="宋体" w:cs="宋体"/>
                <w:kern w:val="0"/>
                <w:sz w:val="20"/>
                <w:szCs w:val="20"/>
              </w:rPr>
              <w:br w:type="textWrapping"/>
            </w:r>
            <w:r>
              <w:rPr>
                <w:rFonts w:hint="eastAsia" w:ascii="宋体" w:hAnsi="宋体" w:cs="宋体"/>
                <w:kern w:val="0"/>
                <w:sz w:val="20"/>
                <w:szCs w:val="20"/>
              </w:rPr>
              <w:t>号</w:t>
            </w:r>
          </w:p>
        </w:tc>
        <w:tc>
          <w:tcPr>
            <w:tcW w:w="1159"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23A2D981">
            <w:pPr>
              <w:jc w:val="center"/>
              <w:rPr>
                <w:rFonts w:ascii="宋体" w:hAnsi="宋体" w:cs="宋体"/>
                <w:kern w:val="0"/>
                <w:sz w:val="20"/>
                <w:szCs w:val="20"/>
              </w:rPr>
            </w:pPr>
            <w:r>
              <w:rPr>
                <w:rFonts w:hint="eastAsia" w:ascii="宋体" w:hAnsi="宋体" w:cs="宋体"/>
                <w:kern w:val="0"/>
                <w:sz w:val="20"/>
                <w:szCs w:val="20"/>
              </w:rPr>
              <w:t>项目编码</w:t>
            </w:r>
          </w:p>
        </w:tc>
        <w:tc>
          <w:tcPr>
            <w:tcW w:w="1559"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12268657">
            <w:pPr>
              <w:jc w:val="center"/>
              <w:rPr>
                <w:rFonts w:ascii="宋体" w:hAnsi="宋体" w:cs="宋体"/>
                <w:kern w:val="0"/>
                <w:sz w:val="20"/>
                <w:szCs w:val="20"/>
              </w:rPr>
            </w:pPr>
            <w:r>
              <w:rPr>
                <w:rFonts w:hint="eastAsia" w:ascii="宋体" w:hAnsi="宋体" w:cs="宋体"/>
                <w:kern w:val="0"/>
                <w:sz w:val="20"/>
                <w:szCs w:val="20"/>
              </w:rPr>
              <w:t>项目名称</w:t>
            </w:r>
          </w:p>
        </w:tc>
        <w:tc>
          <w:tcPr>
            <w:tcW w:w="1701"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67AA9099">
            <w:pPr>
              <w:jc w:val="center"/>
              <w:rPr>
                <w:rFonts w:ascii="宋体" w:hAnsi="宋体" w:cs="宋体"/>
                <w:kern w:val="0"/>
                <w:sz w:val="20"/>
                <w:szCs w:val="20"/>
              </w:rPr>
            </w:pPr>
            <w:r>
              <w:rPr>
                <w:rFonts w:hint="eastAsia" w:ascii="宋体" w:hAnsi="宋体" w:cs="宋体"/>
                <w:kern w:val="0"/>
                <w:sz w:val="20"/>
                <w:szCs w:val="20"/>
              </w:rPr>
              <w:t>项目特征描述</w:t>
            </w:r>
          </w:p>
        </w:tc>
        <w:tc>
          <w:tcPr>
            <w:tcW w:w="992"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50BC5EF3">
            <w:pPr>
              <w:jc w:val="center"/>
              <w:rPr>
                <w:rFonts w:ascii="宋体" w:hAnsi="宋体" w:cs="宋体"/>
                <w:kern w:val="0"/>
                <w:sz w:val="20"/>
                <w:szCs w:val="20"/>
              </w:rPr>
            </w:pPr>
            <w:r>
              <w:rPr>
                <w:rFonts w:hint="eastAsia" w:ascii="宋体" w:hAnsi="宋体" w:cs="宋体"/>
                <w:kern w:val="0"/>
                <w:sz w:val="20"/>
                <w:szCs w:val="20"/>
              </w:rPr>
              <w:t>计量</w:t>
            </w:r>
            <w:r>
              <w:rPr>
                <w:rFonts w:hint="eastAsia" w:ascii="宋体" w:hAnsi="宋体" w:cs="宋体"/>
                <w:kern w:val="0"/>
                <w:sz w:val="20"/>
                <w:szCs w:val="20"/>
              </w:rPr>
              <w:br w:type="textWrapping"/>
            </w:r>
            <w:r>
              <w:rPr>
                <w:rFonts w:hint="eastAsia" w:ascii="宋体" w:hAnsi="宋体" w:cs="宋体"/>
                <w:kern w:val="0"/>
                <w:sz w:val="20"/>
                <w:szCs w:val="20"/>
              </w:rPr>
              <w:t>单位</w:t>
            </w:r>
          </w:p>
        </w:tc>
        <w:tc>
          <w:tcPr>
            <w:tcW w:w="709"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68D1BA20">
            <w:pPr>
              <w:jc w:val="center"/>
              <w:rPr>
                <w:rFonts w:ascii="宋体" w:hAnsi="宋体" w:cs="宋体"/>
                <w:kern w:val="0"/>
                <w:sz w:val="20"/>
                <w:szCs w:val="20"/>
              </w:rPr>
            </w:pPr>
            <w:r>
              <w:rPr>
                <w:rFonts w:hint="eastAsia" w:ascii="宋体" w:hAnsi="宋体" w:cs="宋体"/>
                <w:kern w:val="0"/>
                <w:sz w:val="20"/>
                <w:szCs w:val="20"/>
              </w:rPr>
              <w:t>工程量</w:t>
            </w:r>
          </w:p>
        </w:tc>
        <w:tc>
          <w:tcPr>
            <w:tcW w:w="2212" w:type="dxa"/>
            <w:gridSpan w:val="2"/>
            <w:tcBorders>
              <w:top w:val="single" w:color="auto" w:sz="4" w:space="0"/>
              <w:left w:val="nil"/>
              <w:bottom w:val="single" w:color="000000" w:sz="4" w:space="0"/>
              <w:right w:val="single" w:color="000000" w:sz="4" w:space="0"/>
            </w:tcBorders>
            <w:shd w:val="clear" w:color="000000" w:fill="FFFFFF"/>
            <w:noWrap/>
            <w:vAlign w:val="center"/>
          </w:tcPr>
          <w:p w14:paraId="078E246B">
            <w:pPr>
              <w:jc w:val="center"/>
              <w:rPr>
                <w:rFonts w:ascii="宋体" w:hAnsi="宋体" w:cs="宋体"/>
                <w:kern w:val="0"/>
                <w:sz w:val="20"/>
                <w:szCs w:val="20"/>
              </w:rPr>
            </w:pPr>
            <w:r>
              <w:rPr>
                <w:rFonts w:hint="eastAsia" w:ascii="宋体" w:hAnsi="宋体" w:cs="宋体"/>
                <w:kern w:val="0"/>
                <w:sz w:val="20"/>
                <w:szCs w:val="20"/>
              </w:rPr>
              <w:t>金额(元)</w:t>
            </w:r>
          </w:p>
        </w:tc>
      </w:tr>
      <w:tr w14:paraId="1C98E93A">
        <w:tblPrEx>
          <w:tblCellMar>
            <w:top w:w="0" w:type="dxa"/>
            <w:left w:w="108" w:type="dxa"/>
            <w:bottom w:w="0" w:type="dxa"/>
            <w:right w:w="108" w:type="dxa"/>
          </w:tblCellMar>
        </w:tblPrEx>
        <w:trPr>
          <w:trHeight w:val="372" w:hRule="atLeast"/>
        </w:trPr>
        <w:tc>
          <w:tcPr>
            <w:tcW w:w="41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BA26AD2">
            <w:pPr>
              <w:jc w:val="left"/>
              <w:rPr>
                <w:rFonts w:ascii="宋体" w:hAnsi="宋体" w:cs="宋体"/>
                <w:kern w:val="0"/>
                <w:sz w:val="20"/>
                <w:szCs w:val="20"/>
              </w:rPr>
            </w:pPr>
          </w:p>
        </w:tc>
        <w:tc>
          <w:tcPr>
            <w:tcW w:w="115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F38DE87">
            <w:pPr>
              <w:jc w:val="left"/>
              <w:rPr>
                <w:rFonts w:ascii="宋体" w:hAnsi="宋体" w:cs="宋体"/>
                <w:kern w:val="0"/>
                <w:sz w:val="20"/>
                <w:szCs w:val="20"/>
              </w:rPr>
            </w:pPr>
          </w:p>
        </w:tc>
        <w:tc>
          <w:tcPr>
            <w:tcW w:w="155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3C703A9">
            <w:pPr>
              <w:jc w:val="left"/>
              <w:rPr>
                <w:rFonts w:ascii="宋体" w:hAnsi="宋体" w:cs="宋体"/>
                <w:kern w:val="0"/>
                <w:sz w:val="20"/>
                <w:szCs w:val="20"/>
              </w:rPr>
            </w:pPr>
          </w:p>
        </w:tc>
        <w:tc>
          <w:tcPr>
            <w:tcW w:w="170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5B4AF3F">
            <w:pPr>
              <w:jc w:val="left"/>
              <w:rPr>
                <w:rFonts w:ascii="宋体" w:hAnsi="宋体" w:cs="宋体"/>
                <w:kern w:val="0"/>
                <w:sz w:val="20"/>
                <w:szCs w:val="20"/>
              </w:rPr>
            </w:pPr>
          </w:p>
        </w:tc>
        <w:tc>
          <w:tcPr>
            <w:tcW w:w="99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6698072">
            <w:pPr>
              <w:jc w:val="left"/>
              <w:rPr>
                <w:rFonts w:ascii="宋体" w:hAnsi="宋体" w:cs="宋体"/>
                <w:kern w:val="0"/>
                <w:sz w:val="20"/>
                <w:szCs w:val="20"/>
              </w:rPr>
            </w:pPr>
          </w:p>
        </w:tc>
        <w:tc>
          <w:tcPr>
            <w:tcW w:w="70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720AE9A">
            <w:pPr>
              <w:jc w:val="left"/>
              <w:rPr>
                <w:rFonts w:ascii="宋体" w:hAnsi="宋体" w:cs="宋体"/>
                <w:kern w:val="0"/>
                <w:sz w:val="20"/>
                <w:szCs w:val="20"/>
              </w:rPr>
            </w:pPr>
          </w:p>
        </w:tc>
        <w:tc>
          <w:tcPr>
            <w:tcW w:w="1196" w:type="dxa"/>
            <w:tcBorders>
              <w:top w:val="nil"/>
              <w:left w:val="nil"/>
              <w:bottom w:val="single" w:color="000000" w:sz="4" w:space="0"/>
              <w:right w:val="single" w:color="000000" w:sz="4" w:space="0"/>
            </w:tcBorders>
            <w:shd w:val="clear" w:color="000000" w:fill="FFFFFF"/>
            <w:vAlign w:val="center"/>
          </w:tcPr>
          <w:p w14:paraId="6531EC56">
            <w:pPr>
              <w:jc w:val="center"/>
              <w:rPr>
                <w:rFonts w:ascii="宋体" w:hAnsi="宋体" w:cs="宋体"/>
                <w:kern w:val="0"/>
                <w:sz w:val="20"/>
                <w:szCs w:val="20"/>
              </w:rPr>
            </w:pPr>
            <w:r>
              <w:rPr>
                <w:rFonts w:hint="eastAsia" w:ascii="宋体" w:hAnsi="宋体" w:cs="宋体"/>
                <w:kern w:val="0"/>
                <w:sz w:val="20"/>
                <w:szCs w:val="20"/>
              </w:rPr>
              <w:t>综合单价</w:t>
            </w:r>
          </w:p>
        </w:tc>
        <w:tc>
          <w:tcPr>
            <w:tcW w:w="1016" w:type="dxa"/>
            <w:tcBorders>
              <w:top w:val="nil"/>
              <w:left w:val="nil"/>
              <w:bottom w:val="single" w:color="000000" w:sz="4" w:space="0"/>
              <w:right w:val="single" w:color="auto" w:sz="4" w:space="0"/>
            </w:tcBorders>
            <w:shd w:val="clear" w:color="000000" w:fill="FFFFFF"/>
            <w:vAlign w:val="center"/>
          </w:tcPr>
          <w:p w14:paraId="2AA94F0F">
            <w:pPr>
              <w:jc w:val="center"/>
              <w:rPr>
                <w:rFonts w:ascii="宋体" w:hAnsi="宋体" w:cs="宋体"/>
                <w:kern w:val="0"/>
                <w:sz w:val="20"/>
                <w:szCs w:val="20"/>
              </w:rPr>
            </w:pPr>
            <w:r>
              <w:rPr>
                <w:rFonts w:hint="eastAsia" w:ascii="宋体" w:hAnsi="宋体" w:cs="宋体"/>
                <w:kern w:val="0"/>
                <w:sz w:val="20"/>
                <w:szCs w:val="20"/>
              </w:rPr>
              <w:t>合价</w:t>
            </w:r>
          </w:p>
        </w:tc>
      </w:tr>
      <w:tr w14:paraId="5B289F3E">
        <w:tblPrEx>
          <w:tblCellMar>
            <w:top w:w="0" w:type="dxa"/>
            <w:left w:w="108" w:type="dxa"/>
            <w:bottom w:w="0" w:type="dxa"/>
            <w:right w:w="108" w:type="dxa"/>
          </w:tblCellMar>
        </w:tblPrEx>
        <w:trPr>
          <w:trHeight w:val="37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14:paraId="07D94D85">
            <w:pPr>
              <w:jc w:val="center"/>
              <w:rPr>
                <w:rFonts w:ascii="宋体" w:hAnsi="宋体" w:cs="宋体"/>
                <w:kern w:val="0"/>
                <w:sz w:val="18"/>
                <w:szCs w:val="18"/>
              </w:rPr>
            </w:pPr>
          </w:p>
        </w:tc>
        <w:tc>
          <w:tcPr>
            <w:tcW w:w="1159" w:type="dxa"/>
            <w:tcBorders>
              <w:top w:val="nil"/>
              <w:left w:val="nil"/>
              <w:bottom w:val="single" w:color="auto" w:sz="4" w:space="0"/>
              <w:right w:val="single" w:color="auto" w:sz="4" w:space="0"/>
            </w:tcBorders>
            <w:shd w:val="clear" w:color="000000" w:fill="FFFFFF"/>
            <w:noWrap/>
            <w:vAlign w:val="center"/>
          </w:tcPr>
          <w:p w14:paraId="069161E4">
            <w:pPr>
              <w:jc w:val="center"/>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56E98031">
            <w:pPr>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171DB8AD">
            <w:pPr>
              <w:jc w:val="left"/>
              <w:rPr>
                <w:rFonts w:ascii="宋体" w:hAnsi="宋体" w:cs="宋体"/>
                <w:kern w:val="0"/>
                <w:sz w:val="18"/>
                <w:szCs w:val="18"/>
              </w:rPr>
            </w:pPr>
          </w:p>
        </w:tc>
        <w:tc>
          <w:tcPr>
            <w:tcW w:w="992" w:type="dxa"/>
            <w:tcBorders>
              <w:top w:val="nil"/>
              <w:left w:val="nil"/>
              <w:bottom w:val="single" w:color="auto" w:sz="4" w:space="0"/>
              <w:right w:val="single" w:color="auto" w:sz="4" w:space="0"/>
            </w:tcBorders>
            <w:shd w:val="clear" w:color="000000" w:fill="FFFFFF"/>
            <w:vAlign w:val="center"/>
          </w:tcPr>
          <w:p w14:paraId="5487B1A7">
            <w:pPr>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shd w:val="clear" w:color="000000" w:fill="FFFFFF"/>
            <w:noWrap/>
            <w:vAlign w:val="center"/>
          </w:tcPr>
          <w:p w14:paraId="68854D44">
            <w:pPr>
              <w:jc w:val="right"/>
              <w:rPr>
                <w:rFonts w:ascii="宋体" w:hAnsi="宋体" w:cs="宋体"/>
                <w:kern w:val="0"/>
                <w:sz w:val="18"/>
                <w:szCs w:val="18"/>
              </w:rPr>
            </w:pPr>
          </w:p>
        </w:tc>
        <w:tc>
          <w:tcPr>
            <w:tcW w:w="1196" w:type="dxa"/>
            <w:tcBorders>
              <w:top w:val="nil"/>
              <w:left w:val="nil"/>
              <w:bottom w:val="single" w:color="auto" w:sz="4" w:space="0"/>
              <w:right w:val="single" w:color="auto" w:sz="4" w:space="0"/>
            </w:tcBorders>
            <w:shd w:val="clear" w:color="000000" w:fill="FFFFFF"/>
            <w:noWrap/>
            <w:vAlign w:val="center"/>
          </w:tcPr>
          <w:p w14:paraId="7964828F">
            <w:pPr>
              <w:jc w:val="right"/>
              <w:rPr>
                <w:rFonts w:ascii="宋体" w:hAnsi="宋体" w:cs="宋体"/>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14:paraId="20AC2A94">
            <w:pPr>
              <w:jc w:val="right"/>
              <w:rPr>
                <w:rFonts w:ascii="宋体" w:hAnsi="宋体" w:cs="宋体"/>
                <w:kern w:val="0"/>
                <w:sz w:val="18"/>
                <w:szCs w:val="18"/>
              </w:rPr>
            </w:pPr>
          </w:p>
        </w:tc>
      </w:tr>
      <w:tr w14:paraId="15E94D2D">
        <w:tblPrEx>
          <w:tblCellMar>
            <w:top w:w="0" w:type="dxa"/>
            <w:left w:w="108" w:type="dxa"/>
            <w:bottom w:w="0" w:type="dxa"/>
            <w:right w:w="108" w:type="dxa"/>
          </w:tblCellMar>
        </w:tblPrEx>
        <w:trPr>
          <w:trHeight w:val="638"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14:paraId="1696B03E">
            <w:pPr>
              <w:jc w:val="center"/>
              <w:rPr>
                <w:rFonts w:ascii="宋体" w:hAnsi="宋体" w:cs="宋体"/>
                <w:kern w:val="0"/>
                <w:sz w:val="18"/>
                <w:szCs w:val="18"/>
              </w:rPr>
            </w:pPr>
          </w:p>
        </w:tc>
        <w:tc>
          <w:tcPr>
            <w:tcW w:w="1159" w:type="dxa"/>
            <w:tcBorders>
              <w:top w:val="nil"/>
              <w:left w:val="nil"/>
              <w:bottom w:val="single" w:color="auto" w:sz="4" w:space="0"/>
              <w:right w:val="single" w:color="auto" w:sz="4" w:space="0"/>
            </w:tcBorders>
            <w:shd w:val="clear" w:color="000000" w:fill="FFFFFF"/>
            <w:noWrap/>
            <w:vAlign w:val="center"/>
          </w:tcPr>
          <w:p w14:paraId="572CC00A">
            <w:pPr>
              <w:jc w:val="center"/>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5F112D2B">
            <w:pPr>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2EF0799E">
            <w:pPr>
              <w:jc w:val="left"/>
              <w:rPr>
                <w:rFonts w:ascii="宋体" w:hAnsi="宋体" w:cs="宋体"/>
                <w:kern w:val="0"/>
                <w:sz w:val="18"/>
                <w:szCs w:val="18"/>
              </w:rPr>
            </w:pPr>
          </w:p>
        </w:tc>
        <w:tc>
          <w:tcPr>
            <w:tcW w:w="992" w:type="dxa"/>
            <w:tcBorders>
              <w:top w:val="nil"/>
              <w:left w:val="nil"/>
              <w:bottom w:val="single" w:color="auto" w:sz="4" w:space="0"/>
              <w:right w:val="single" w:color="auto" w:sz="4" w:space="0"/>
            </w:tcBorders>
            <w:shd w:val="clear" w:color="000000" w:fill="FFFFFF"/>
            <w:vAlign w:val="center"/>
          </w:tcPr>
          <w:p w14:paraId="3120BE61">
            <w:pPr>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shd w:val="clear" w:color="000000" w:fill="FFFFFF"/>
            <w:noWrap/>
            <w:vAlign w:val="center"/>
          </w:tcPr>
          <w:p w14:paraId="3CF2151C">
            <w:pPr>
              <w:jc w:val="right"/>
              <w:rPr>
                <w:rFonts w:ascii="宋体" w:hAnsi="宋体" w:cs="宋体"/>
                <w:kern w:val="0"/>
                <w:sz w:val="18"/>
                <w:szCs w:val="18"/>
              </w:rPr>
            </w:pPr>
          </w:p>
        </w:tc>
        <w:tc>
          <w:tcPr>
            <w:tcW w:w="1196" w:type="dxa"/>
            <w:tcBorders>
              <w:top w:val="nil"/>
              <w:left w:val="nil"/>
              <w:bottom w:val="single" w:color="auto" w:sz="4" w:space="0"/>
              <w:right w:val="single" w:color="auto" w:sz="4" w:space="0"/>
            </w:tcBorders>
            <w:shd w:val="clear" w:color="000000" w:fill="FFFFFF"/>
            <w:noWrap/>
            <w:vAlign w:val="center"/>
          </w:tcPr>
          <w:p w14:paraId="2BB5568D">
            <w:pPr>
              <w:jc w:val="right"/>
              <w:rPr>
                <w:rFonts w:ascii="宋体" w:hAnsi="宋体" w:cs="宋体"/>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14:paraId="6B18E265">
            <w:pPr>
              <w:jc w:val="right"/>
              <w:rPr>
                <w:rFonts w:ascii="宋体" w:hAnsi="宋体" w:cs="宋体"/>
                <w:kern w:val="0"/>
                <w:sz w:val="18"/>
                <w:szCs w:val="18"/>
              </w:rPr>
            </w:pPr>
          </w:p>
        </w:tc>
      </w:tr>
      <w:tr w14:paraId="1B4B69C3">
        <w:tblPrEx>
          <w:tblCellMar>
            <w:top w:w="0" w:type="dxa"/>
            <w:left w:w="108" w:type="dxa"/>
            <w:bottom w:w="0" w:type="dxa"/>
            <w:right w:w="108" w:type="dxa"/>
          </w:tblCellMar>
        </w:tblPrEx>
        <w:trPr>
          <w:trHeight w:val="638"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14:paraId="05B78119">
            <w:pPr>
              <w:jc w:val="center"/>
              <w:rPr>
                <w:rFonts w:ascii="宋体" w:hAnsi="宋体" w:cs="宋体"/>
                <w:kern w:val="0"/>
                <w:sz w:val="18"/>
                <w:szCs w:val="18"/>
              </w:rPr>
            </w:pPr>
          </w:p>
        </w:tc>
        <w:tc>
          <w:tcPr>
            <w:tcW w:w="1159" w:type="dxa"/>
            <w:tcBorders>
              <w:top w:val="nil"/>
              <w:left w:val="nil"/>
              <w:bottom w:val="single" w:color="auto" w:sz="4" w:space="0"/>
              <w:right w:val="single" w:color="auto" w:sz="4" w:space="0"/>
            </w:tcBorders>
            <w:shd w:val="clear" w:color="000000" w:fill="FFFFFF"/>
            <w:noWrap/>
            <w:vAlign w:val="center"/>
          </w:tcPr>
          <w:p w14:paraId="7DBCF3F0">
            <w:pPr>
              <w:jc w:val="center"/>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78E44F6B">
            <w:pPr>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19400890">
            <w:pPr>
              <w:jc w:val="left"/>
              <w:rPr>
                <w:rFonts w:ascii="宋体" w:hAnsi="宋体" w:cs="宋体"/>
                <w:kern w:val="0"/>
                <w:sz w:val="18"/>
                <w:szCs w:val="18"/>
              </w:rPr>
            </w:pPr>
          </w:p>
        </w:tc>
        <w:tc>
          <w:tcPr>
            <w:tcW w:w="992" w:type="dxa"/>
            <w:tcBorders>
              <w:top w:val="nil"/>
              <w:left w:val="nil"/>
              <w:bottom w:val="single" w:color="auto" w:sz="4" w:space="0"/>
              <w:right w:val="single" w:color="auto" w:sz="4" w:space="0"/>
            </w:tcBorders>
            <w:shd w:val="clear" w:color="000000" w:fill="FFFFFF"/>
            <w:vAlign w:val="center"/>
          </w:tcPr>
          <w:p w14:paraId="72316D68">
            <w:pPr>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shd w:val="clear" w:color="000000" w:fill="FFFFFF"/>
            <w:noWrap/>
            <w:vAlign w:val="center"/>
          </w:tcPr>
          <w:p w14:paraId="6518E070">
            <w:pPr>
              <w:jc w:val="right"/>
              <w:rPr>
                <w:rFonts w:ascii="宋体" w:hAnsi="宋体" w:cs="宋体"/>
                <w:kern w:val="0"/>
                <w:sz w:val="18"/>
                <w:szCs w:val="18"/>
              </w:rPr>
            </w:pPr>
          </w:p>
        </w:tc>
        <w:tc>
          <w:tcPr>
            <w:tcW w:w="1196" w:type="dxa"/>
            <w:tcBorders>
              <w:top w:val="nil"/>
              <w:left w:val="nil"/>
              <w:bottom w:val="single" w:color="auto" w:sz="4" w:space="0"/>
              <w:right w:val="single" w:color="auto" w:sz="4" w:space="0"/>
            </w:tcBorders>
            <w:shd w:val="clear" w:color="000000" w:fill="FFFFFF"/>
            <w:noWrap/>
            <w:vAlign w:val="center"/>
          </w:tcPr>
          <w:p w14:paraId="77805292">
            <w:pPr>
              <w:jc w:val="right"/>
              <w:rPr>
                <w:rFonts w:ascii="宋体" w:hAnsi="宋体" w:cs="宋体"/>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14:paraId="71B66B30">
            <w:pPr>
              <w:jc w:val="right"/>
              <w:rPr>
                <w:rFonts w:ascii="宋体" w:hAnsi="宋体" w:cs="宋体"/>
                <w:kern w:val="0"/>
                <w:sz w:val="18"/>
                <w:szCs w:val="18"/>
              </w:rPr>
            </w:pPr>
          </w:p>
        </w:tc>
      </w:tr>
      <w:tr w14:paraId="3A6CCB9C">
        <w:tblPrEx>
          <w:tblCellMar>
            <w:top w:w="0" w:type="dxa"/>
            <w:left w:w="108" w:type="dxa"/>
            <w:bottom w:w="0" w:type="dxa"/>
            <w:right w:w="108" w:type="dxa"/>
          </w:tblCellMar>
        </w:tblPrEx>
        <w:trPr>
          <w:trHeight w:val="37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14:paraId="384DE981">
            <w:pPr>
              <w:jc w:val="center"/>
              <w:rPr>
                <w:rFonts w:ascii="宋体" w:hAnsi="宋体" w:cs="宋体"/>
                <w:kern w:val="0"/>
                <w:sz w:val="18"/>
                <w:szCs w:val="18"/>
              </w:rPr>
            </w:pPr>
          </w:p>
        </w:tc>
        <w:tc>
          <w:tcPr>
            <w:tcW w:w="1159" w:type="dxa"/>
            <w:tcBorders>
              <w:top w:val="nil"/>
              <w:left w:val="nil"/>
              <w:bottom w:val="single" w:color="auto" w:sz="4" w:space="0"/>
              <w:right w:val="single" w:color="auto" w:sz="4" w:space="0"/>
            </w:tcBorders>
            <w:shd w:val="clear" w:color="000000" w:fill="FFFFFF"/>
            <w:noWrap/>
            <w:vAlign w:val="center"/>
          </w:tcPr>
          <w:p w14:paraId="78D8F97B">
            <w:pPr>
              <w:jc w:val="center"/>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055DA297">
            <w:pPr>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7F903D9D">
            <w:pPr>
              <w:jc w:val="left"/>
              <w:rPr>
                <w:rFonts w:ascii="宋体" w:hAnsi="宋体" w:cs="宋体"/>
                <w:kern w:val="0"/>
                <w:sz w:val="18"/>
                <w:szCs w:val="18"/>
              </w:rPr>
            </w:pPr>
          </w:p>
        </w:tc>
        <w:tc>
          <w:tcPr>
            <w:tcW w:w="992" w:type="dxa"/>
            <w:tcBorders>
              <w:top w:val="nil"/>
              <w:left w:val="nil"/>
              <w:bottom w:val="single" w:color="auto" w:sz="4" w:space="0"/>
              <w:right w:val="single" w:color="auto" w:sz="4" w:space="0"/>
            </w:tcBorders>
            <w:shd w:val="clear" w:color="000000" w:fill="FFFFFF"/>
            <w:vAlign w:val="center"/>
          </w:tcPr>
          <w:p w14:paraId="717DB5CC">
            <w:pPr>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shd w:val="clear" w:color="000000" w:fill="FFFFFF"/>
            <w:noWrap/>
            <w:vAlign w:val="center"/>
          </w:tcPr>
          <w:p w14:paraId="50D155B8">
            <w:pPr>
              <w:jc w:val="right"/>
              <w:rPr>
                <w:rFonts w:ascii="宋体" w:hAnsi="宋体" w:cs="宋体"/>
                <w:kern w:val="0"/>
                <w:sz w:val="18"/>
                <w:szCs w:val="18"/>
              </w:rPr>
            </w:pPr>
          </w:p>
        </w:tc>
        <w:tc>
          <w:tcPr>
            <w:tcW w:w="1196" w:type="dxa"/>
            <w:tcBorders>
              <w:top w:val="nil"/>
              <w:left w:val="nil"/>
              <w:bottom w:val="single" w:color="auto" w:sz="4" w:space="0"/>
              <w:right w:val="single" w:color="auto" w:sz="4" w:space="0"/>
            </w:tcBorders>
            <w:shd w:val="clear" w:color="000000" w:fill="FFFFFF"/>
            <w:noWrap/>
            <w:vAlign w:val="center"/>
          </w:tcPr>
          <w:p w14:paraId="455CF3EC">
            <w:pPr>
              <w:jc w:val="right"/>
              <w:rPr>
                <w:rFonts w:ascii="宋体" w:hAnsi="宋体" w:cs="宋体"/>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14:paraId="0A5A8F10">
            <w:pPr>
              <w:jc w:val="right"/>
              <w:rPr>
                <w:rFonts w:ascii="宋体" w:hAnsi="宋体" w:cs="宋体"/>
                <w:kern w:val="0"/>
                <w:sz w:val="18"/>
                <w:szCs w:val="18"/>
              </w:rPr>
            </w:pPr>
          </w:p>
        </w:tc>
      </w:tr>
      <w:tr w14:paraId="311BDD36">
        <w:tblPrEx>
          <w:tblCellMar>
            <w:top w:w="0" w:type="dxa"/>
            <w:left w:w="108" w:type="dxa"/>
            <w:bottom w:w="0" w:type="dxa"/>
            <w:right w:w="108" w:type="dxa"/>
          </w:tblCellMar>
        </w:tblPrEx>
        <w:trPr>
          <w:trHeight w:val="37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14:paraId="0D71D7E0">
            <w:pPr>
              <w:jc w:val="center"/>
              <w:rPr>
                <w:rFonts w:ascii="宋体" w:hAnsi="宋体" w:cs="宋体"/>
                <w:kern w:val="0"/>
                <w:sz w:val="18"/>
                <w:szCs w:val="18"/>
              </w:rPr>
            </w:pPr>
          </w:p>
        </w:tc>
        <w:tc>
          <w:tcPr>
            <w:tcW w:w="1159" w:type="dxa"/>
            <w:tcBorders>
              <w:top w:val="nil"/>
              <w:left w:val="nil"/>
              <w:bottom w:val="single" w:color="auto" w:sz="4" w:space="0"/>
              <w:right w:val="single" w:color="auto" w:sz="4" w:space="0"/>
            </w:tcBorders>
            <w:shd w:val="clear" w:color="000000" w:fill="FFFFFF"/>
            <w:noWrap/>
            <w:vAlign w:val="center"/>
          </w:tcPr>
          <w:p w14:paraId="333DFE71">
            <w:pPr>
              <w:jc w:val="center"/>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5DDD779E">
            <w:pPr>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45C3ABB8">
            <w:pPr>
              <w:jc w:val="left"/>
              <w:rPr>
                <w:rFonts w:ascii="宋体" w:hAnsi="宋体" w:cs="宋体"/>
                <w:kern w:val="0"/>
                <w:sz w:val="18"/>
                <w:szCs w:val="18"/>
              </w:rPr>
            </w:pPr>
          </w:p>
        </w:tc>
        <w:tc>
          <w:tcPr>
            <w:tcW w:w="992" w:type="dxa"/>
            <w:tcBorders>
              <w:top w:val="nil"/>
              <w:left w:val="nil"/>
              <w:bottom w:val="single" w:color="auto" w:sz="4" w:space="0"/>
              <w:right w:val="single" w:color="auto" w:sz="4" w:space="0"/>
            </w:tcBorders>
            <w:shd w:val="clear" w:color="000000" w:fill="FFFFFF"/>
            <w:vAlign w:val="center"/>
          </w:tcPr>
          <w:p w14:paraId="570E5C74">
            <w:pPr>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shd w:val="clear" w:color="000000" w:fill="FFFFFF"/>
            <w:noWrap/>
            <w:vAlign w:val="center"/>
          </w:tcPr>
          <w:p w14:paraId="421A246D">
            <w:pPr>
              <w:jc w:val="right"/>
              <w:rPr>
                <w:rFonts w:ascii="宋体" w:hAnsi="宋体" w:cs="宋体"/>
                <w:kern w:val="0"/>
                <w:sz w:val="18"/>
                <w:szCs w:val="18"/>
              </w:rPr>
            </w:pPr>
          </w:p>
        </w:tc>
        <w:tc>
          <w:tcPr>
            <w:tcW w:w="1196" w:type="dxa"/>
            <w:tcBorders>
              <w:top w:val="nil"/>
              <w:left w:val="nil"/>
              <w:bottom w:val="single" w:color="auto" w:sz="4" w:space="0"/>
              <w:right w:val="single" w:color="auto" w:sz="4" w:space="0"/>
            </w:tcBorders>
            <w:shd w:val="clear" w:color="000000" w:fill="FFFFFF"/>
            <w:noWrap/>
            <w:vAlign w:val="center"/>
          </w:tcPr>
          <w:p w14:paraId="5FF5F466">
            <w:pPr>
              <w:jc w:val="right"/>
              <w:rPr>
                <w:rFonts w:ascii="宋体" w:hAnsi="宋体" w:cs="宋体"/>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14:paraId="1B7BA911">
            <w:pPr>
              <w:jc w:val="right"/>
              <w:rPr>
                <w:rFonts w:ascii="宋体" w:hAnsi="宋体" w:cs="宋体"/>
                <w:kern w:val="0"/>
                <w:sz w:val="18"/>
                <w:szCs w:val="18"/>
              </w:rPr>
            </w:pPr>
          </w:p>
        </w:tc>
      </w:tr>
      <w:tr w14:paraId="2DA9B854">
        <w:tblPrEx>
          <w:tblCellMar>
            <w:top w:w="0" w:type="dxa"/>
            <w:left w:w="108" w:type="dxa"/>
            <w:bottom w:w="0" w:type="dxa"/>
            <w:right w:w="108" w:type="dxa"/>
          </w:tblCellMar>
        </w:tblPrEx>
        <w:trPr>
          <w:trHeight w:val="357" w:hRule="atLeast"/>
        </w:trPr>
        <w:tc>
          <w:tcPr>
            <w:tcW w:w="416" w:type="dxa"/>
            <w:tcBorders>
              <w:top w:val="nil"/>
              <w:left w:val="single" w:color="auto" w:sz="4" w:space="0"/>
              <w:bottom w:val="single" w:color="auto" w:sz="4" w:space="0"/>
              <w:right w:val="single" w:color="auto" w:sz="4" w:space="0"/>
            </w:tcBorders>
            <w:shd w:val="clear" w:color="auto" w:fill="auto"/>
            <w:noWrap/>
            <w:vAlign w:val="center"/>
          </w:tcPr>
          <w:p w14:paraId="0945B487">
            <w:pPr>
              <w:jc w:val="left"/>
              <w:rPr>
                <w:rFonts w:ascii="宋体" w:hAnsi="宋体" w:cs="宋体"/>
                <w:kern w:val="0"/>
                <w:sz w:val="20"/>
                <w:szCs w:val="20"/>
              </w:rPr>
            </w:pPr>
          </w:p>
        </w:tc>
        <w:tc>
          <w:tcPr>
            <w:tcW w:w="1159" w:type="dxa"/>
            <w:tcBorders>
              <w:top w:val="nil"/>
              <w:left w:val="nil"/>
              <w:bottom w:val="single" w:color="auto" w:sz="4" w:space="0"/>
              <w:right w:val="single" w:color="auto" w:sz="4" w:space="0"/>
            </w:tcBorders>
            <w:shd w:val="clear" w:color="auto" w:fill="auto"/>
            <w:noWrap/>
            <w:vAlign w:val="center"/>
          </w:tcPr>
          <w:p w14:paraId="130601DF">
            <w:pPr>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51B02AE0">
            <w:pPr>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71C03673">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7C35296D">
            <w:pPr>
              <w:jc w:val="left"/>
              <w:rPr>
                <w:rFonts w:ascii="宋体" w:hAnsi="宋体"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255F43BE">
            <w:pPr>
              <w:jc w:val="left"/>
              <w:rPr>
                <w:rFonts w:ascii="宋体" w:hAnsi="宋体" w:cs="宋体"/>
                <w:kern w:val="0"/>
                <w:sz w:val="20"/>
                <w:szCs w:val="20"/>
              </w:rPr>
            </w:pPr>
          </w:p>
        </w:tc>
        <w:tc>
          <w:tcPr>
            <w:tcW w:w="1196" w:type="dxa"/>
            <w:tcBorders>
              <w:top w:val="nil"/>
              <w:left w:val="nil"/>
              <w:bottom w:val="single" w:color="auto" w:sz="4" w:space="0"/>
              <w:right w:val="single" w:color="auto" w:sz="4" w:space="0"/>
            </w:tcBorders>
            <w:shd w:val="clear" w:color="auto" w:fill="auto"/>
            <w:noWrap/>
            <w:vAlign w:val="center"/>
          </w:tcPr>
          <w:p w14:paraId="055CA9C2">
            <w:pPr>
              <w:jc w:val="left"/>
              <w:rPr>
                <w:rFonts w:ascii="宋体" w:hAnsi="宋体" w:cs="宋体"/>
                <w:kern w:val="0"/>
                <w:sz w:val="20"/>
                <w:szCs w:val="20"/>
              </w:rPr>
            </w:pPr>
          </w:p>
        </w:tc>
        <w:tc>
          <w:tcPr>
            <w:tcW w:w="1016" w:type="dxa"/>
            <w:tcBorders>
              <w:top w:val="nil"/>
              <w:left w:val="nil"/>
              <w:bottom w:val="single" w:color="auto" w:sz="4" w:space="0"/>
              <w:right w:val="single" w:color="auto" w:sz="4" w:space="0"/>
            </w:tcBorders>
            <w:shd w:val="clear" w:color="auto" w:fill="auto"/>
            <w:noWrap/>
            <w:vAlign w:val="center"/>
          </w:tcPr>
          <w:p w14:paraId="5EDCD601">
            <w:pPr>
              <w:jc w:val="left"/>
              <w:rPr>
                <w:rFonts w:ascii="宋体" w:hAnsi="宋体" w:cs="宋体"/>
                <w:kern w:val="0"/>
                <w:sz w:val="20"/>
                <w:szCs w:val="20"/>
              </w:rPr>
            </w:pPr>
          </w:p>
        </w:tc>
      </w:tr>
      <w:tr w14:paraId="7056A3C7">
        <w:tblPrEx>
          <w:tblCellMar>
            <w:top w:w="0" w:type="dxa"/>
            <w:left w:w="108" w:type="dxa"/>
            <w:bottom w:w="0" w:type="dxa"/>
            <w:right w:w="108" w:type="dxa"/>
          </w:tblCellMar>
        </w:tblPrEx>
        <w:trPr>
          <w:trHeight w:val="357" w:hRule="atLeast"/>
        </w:trPr>
        <w:tc>
          <w:tcPr>
            <w:tcW w:w="416" w:type="dxa"/>
            <w:tcBorders>
              <w:top w:val="nil"/>
              <w:left w:val="single" w:color="auto" w:sz="4" w:space="0"/>
              <w:bottom w:val="single" w:color="auto" w:sz="4" w:space="0"/>
              <w:right w:val="single" w:color="auto" w:sz="4" w:space="0"/>
            </w:tcBorders>
            <w:shd w:val="clear" w:color="auto" w:fill="auto"/>
            <w:noWrap/>
            <w:vAlign w:val="center"/>
          </w:tcPr>
          <w:p w14:paraId="21D931F3">
            <w:pPr>
              <w:jc w:val="left"/>
              <w:rPr>
                <w:rFonts w:ascii="宋体" w:hAnsi="宋体" w:cs="宋体"/>
                <w:kern w:val="0"/>
                <w:sz w:val="20"/>
                <w:szCs w:val="20"/>
              </w:rPr>
            </w:pPr>
          </w:p>
        </w:tc>
        <w:tc>
          <w:tcPr>
            <w:tcW w:w="1159" w:type="dxa"/>
            <w:tcBorders>
              <w:top w:val="nil"/>
              <w:left w:val="nil"/>
              <w:bottom w:val="single" w:color="auto" w:sz="4" w:space="0"/>
              <w:right w:val="single" w:color="auto" w:sz="4" w:space="0"/>
            </w:tcBorders>
            <w:shd w:val="clear" w:color="auto" w:fill="auto"/>
            <w:noWrap/>
            <w:vAlign w:val="center"/>
          </w:tcPr>
          <w:p w14:paraId="69132AEA">
            <w:pPr>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77967AFB">
            <w:pPr>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1853861A">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6633E6FF">
            <w:pPr>
              <w:jc w:val="left"/>
              <w:rPr>
                <w:rFonts w:ascii="宋体" w:hAnsi="宋体"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5ACBDC9D">
            <w:pPr>
              <w:jc w:val="left"/>
              <w:rPr>
                <w:rFonts w:ascii="宋体" w:hAnsi="宋体" w:cs="宋体"/>
                <w:kern w:val="0"/>
                <w:sz w:val="20"/>
                <w:szCs w:val="20"/>
              </w:rPr>
            </w:pPr>
          </w:p>
        </w:tc>
        <w:tc>
          <w:tcPr>
            <w:tcW w:w="1196" w:type="dxa"/>
            <w:tcBorders>
              <w:top w:val="nil"/>
              <w:left w:val="nil"/>
              <w:bottom w:val="single" w:color="auto" w:sz="4" w:space="0"/>
              <w:right w:val="single" w:color="auto" w:sz="4" w:space="0"/>
            </w:tcBorders>
            <w:shd w:val="clear" w:color="auto" w:fill="auto"/>
            <w:noWrap/>
            <w:vAlign w:val="center"/>
          </w:tcPr>
          <w:p w14:paraId="6F8A0435">
            <w:pPr>
              <w:jc w:val="left"/>
              <w:rPr>
                <w:rFonts w:ascii="宋体" w:hAnsi="宋体" w:cs="宋体"/>
                <w:kern w:val="0"/>
                <w:sz w:val="20"/>
                <w:szCs w:val="20"/>
              </w:rPr>
            </w:pPr>
          </w:p>
        </w:tc>
        <w:tc>
          <w:tcPr>
            <w:tcW w:w="1016" w:type="dxa"/>
            <w:tcBorders>
              <w:top w:val="nil"/>
              <w:left w:val="nil"/>
              <w:bottom w:val="single" w:color="auto" w:sz="4" w:space="0"/>
              <w:right w:val="single" w:color="auto" w:sz="4" w:space="0"/>
            </w:tcBorders>
            <w:shd w:val="clear" w:color="auto" w:fill="auto"/>
            <w:noWrap/>
            <w:vAlign w:val="center"/>
          </w:tcPr>
          <w:p w14:paraId="1ACBFAD9">
            <w:pPr>
              <w:jc w:val="left"/>
              <w:rPr>
                <w:rFonts w:ascii="宋体" w:hAnsi="宋体" w:cs="宋体"/>
                <w:kern w:val="0"/>
                <w:sz w:val="20"/>
                <w:szCs w:val="20"/>
              </w:rPr>
            </w:pPr>
          </w:p>
        </w:tc>
      </w:tr>
      <w:tr w14:paraId="38DB1BBD">
        <w:tblPrEx>
          <w:tblCellMar>
            <w:top w:w="0" w:type="dxa"/>
            <w:left w:w="108" w:type="dxa"/>
            <w:bottom w:w="0" w:type="dxa"/>
            <w:right w:w="108" w:type="dxa"/>
          </w:tblCellMar>
        </w:tblPrEx>
        <w:trPr>
          <w:trHeight w:val="357" w:hRule="atLeast"/>
        </w:trPr>
        <w:tc>
          <w:tcPr>
            <w:tcW w:w="416" w:type="dxa"/>
            <w:tcBorders>
              <w:top w:val="nil"/>
              <w:left w:val="single" w:color="auto" w:sz="4" w:space="0"/>
              <w:bottom w:val="single" w:color="auto" w:sz="4" w:space="0"/>
              <w:right w:val="single" w:color="auto" w:sz="4" w:space="0"/>
            </w:tcBorders>
            <w:shd w:val="clear" w:color="auto" w:fill="auto"/>
            <w:noWrap/>
            <w:vAlign w:val="center"/>
          </w:tcPr>
          <w:p w14:paraId="4AADC2EA">
            <w:pPr>
              <w:jc w:val="left"/>
              <w:rPr>
                <w:rFonts w:ascii="宋体" w:hAnsi="宋体" w:cs="宋体"/>
                <w:kern w:val="0"/>
                <w:sz w:val="20"/>
                <w:szCs w:val="20"/>
              </w:rPr>
            </w:pPr>
          </w:p>
        </w:tc>
        <w:tc>
          <w:tcPr>
            <w:tcW w:w="1159" w:type="dxa"/>
            <w:tcBorders>
              <w:top w:val="nil"/>
              <w:left w:val="nil"/>
              <w:bottom w:val="single" w:color="auto" w:sz="4" w:space="0"/>
              <w:right w:val="single" w:color="auto" w:sz="4" w:space="0"/>
            </w:tcBorders>
            <w:shd w:val="clear" w:color="auto" w:fill="auto"/>
            <w:noWrap/>
            <w:vAlign w:val="center"/>
          </w:tcPr>
          <w:p w14:paraId="3A295E48">
            <w:pPr>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495ACEF2">
            <w:pPr>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3C7AC7B6">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7974AE7F">
            <w:pPr>
              <w:jc w:val="left"/>
              <w:rPr>
                <w:rFonts w:ascii="宋体" w:hAnsi="宋体"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4F755F6C">
            <w:pPr>
              <w:jc w:val="left"/>
              <w:rPr>
                <w:rFonts w:ascii="宋体" w:hAnsi="宋体" w:cs="宋体"/>
                <w:kern w:val="0"/>
                <w:sz w:val="20"/>
                <w:szCs w:val="20"/>
              </w:rPr>
            </w:pPr>
          </w:p>
        </w:tc>
        <w:tc>
          <w:tcPr>
            <w:tcW w:w="1196" w:type="dxa"/>
            <w:tcBorders>
              <w:top w:val="nil"/>
              <w:left w:val="nil"/>
              <w:bottom w:val="single" w:color="auto" w:sz="4" w:space="0"/>
              <w:right w:val="single" w:color="auto" w:sz="4" w:space="0"/>
            </w:tcBorders>
            <w:shd w:val="clear" w:color="auto" w:fill="auto"/>
            <w:noWrap/>
            <w:vAlign w:val="center"/>
          </w:tcPr>
          <w:p w14:paraId="163AE263">
            <w:pPr>
              <w:jc w:val="left"/>
              <w:rPr>
                <w:rFonts w:ascii="宋体" w:hAnsi="宋体" w:cs="宋体"/>
                <w:kern w:val="0"/>
                <w:sz w:val="20"/>
                <w:szCs w:val="20"/>
              </w:rPr>
            </w:pPr>
          </w:p>
        </w:tc>
        <w:tc>
          <w:tcPr>
            <w:tcW w:w="1016" w:type="dxa"/>
            <w:tcBorders>
              <w:top w:val="nil"/>
              <w:left w:val="nil"/>
              <w:bottom w:val="single" w:color="auto" w:sz="4" w:space="0"/>
              <w:right w:val="single" w:color="auto" w:sz="4" w:space="0"/>
            </w:tcBorders>
            <w:shd w:val="clear" w:color="auto" w:fill="auto"/>
            <w:noWrap/>
            <w:vAlign w:val="center"/>
          </w:tcPr>
          <w:p w14:paraId="25EC9461">
            <w:pPr>
              <w:jc w:val="left"/>
              <w:rPr>
                <w:rFonts w:ascii="宋体" w:hAnsi="宋体" w:cs="宋体"/>
                <w:kern w:val="0"/>
                <w:sz w:val="20"/>
                <w:szCs w:val="20"/>
              </w:rPr>
            </w:pPr>
          </w:p>
        </w:tc>
      </w:tr>
      <w:tr w14:paraId="310F1131">
        <w:tblPrEx>
          <w:tblCellMar>
            <w:top w:w="0" w:type="dxa"/>
            <w:left w:w="108" w:type="dxa"/>
            <w:bottom w:w="0" w:type="dxa"/>
            <w:right w:w="108" w:type="dxa"/>
          </w:tblCellMar>
        </w:tblPrEx>
        <w:trPr>
          <w:trHeight w:val="357" w:hRule="atLeast"/>
        </w:trPr>
        <w:tc>
          <w:tcPr>
            <w:tcW w:w="416" w:type="dxa"/>
            <w:tcBorders>
              <w:top w:val="nil"/>
              <w:left w:val="single" w:color="auto" w:sz="4" w:space="0"/>
              <w:bottom w:val="single" w:color="auto" w:sz="4" w:space="0"/>
              <w:right w:val="single" w:color="auto" w:sz="4" w:space="0"/>
            </w:tcBorders>
            <w:shd w:val="clear" w:color="auto" w:fill="auto"/>
            <w:noWrap/>
            <w:vAlign w:val="center"/>
          </w:tcPr>
          <w:p w14:paraId="6484A035">
            <w:pPr>
              <w:jc w:val="left"/>
              <w:rPr>
                <w:rFonts w:ascii="宋体" w:hAnsi="宋体" w:cs="宋体"/>
                <w:kern w:val="0"/>
                <w:sz w:val="20"/>
                <w:szCs w:val="20"/>
              </w:rPr>
            </w:pPr>
          </w:p>
        </w:tc>
        <w:tc>
          <w:tcPr>
            <w:tcW w:w="1159" w:type="dxa"/>
            <w:tcBorders>
              <w:top w:val="nil"/>
              <w:left w:val="nil"/>
              <w:bottom w:val="single" w:color="auto" w:sz="4" w:space="0"/>
              <w:right w:val="single" w:color="auto" w:sz="4" w:space="0"/>
            </w:tcBorders>
            <w:shd w:val="clear" w:color="auto" w:fill="auto"/>
            <w:noWrap/>
            <w:vAlign w:val="center"/>
          </w:tcPr>
          <w:p w14:paraId="6186F752">
            <w:pPr>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4BBAFAE7">
            <w:pPr>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79BB55E8">
            <w:pPr>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6A910438">
            <w:pPr>
              <w:jc w:val="left"/>
              <w:rPr>
                <w:rFonts w:ascii="宋体" w:hAnsi="宋体"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34075052">
            <w:pPr>
              <w:jc w:val="left"/>
              <w:rPr>
                <w:rFonts w:ascii="宋体" w:hAnsi="宋体" w:cs="宋体"/>
                <w:kern w:val="0"/>
                <w:sz w:val="20"/>
                <w:szCs w:val="20"/>
              </w:rPr>
            </w:pPr>
          </w:p>
        </w:tc>
        <w:tc>
          <w:tcPr>
            <w:tcW w:w="1196" w:type="dxa"/>
            <w:tcBorders>
              <w:top w:val="nil"/>
              <w:left w:val="nil"/>
              <w:bottom w:val="single" w:color="auto" w:sz="4" w:space="0"/>
              <w:right w:val="single" w:color="auto" w:sz="4" w:space="0"/>
            </w:tcBorders>
            <w:shd w:val="clear" w:color="auto" w:fill="auto"/>
            <w:noWrap/>
            <w:vAlign w:val="center"/>
          </w:tcPr>
          <w:p w14:paraId="212A56D6">
            <w:pPr>
              <w:jc w:val="left"/>
              <w:rPr>
                <w:rFonts w:ascii="宋体" w:hAnsi="宋体" w:cs="宋体"/>
                <w:kern w:val="0"/>
                <w:sz w:val="20"/>
                <w:szCs w:val="20"/>
              </w:rPr>
            </w:pPr>
          </w:p>
        </w:tc>
        <w:tc>
          <w:tcPr>
            <w:tcW w:w="1016" w:type="dxa"/>
            <w:tcBorders>
              <w:top w:val="nil"/>
              <w:left w:val="nil"/>
              <w:bottom w:val="single" w:color="auto" w:sz="4" w:space="0"/>
              <w:right w:val="single" w:color="auto" w:sz="4" w:space="0"/>
            </w:tcBorders>
            <w:shd w:val="clear" w:color="auto" w:fill="auto"/>
            <w:noWrap/>
            <w:vAlign w:val="center"/>
          </w:tcPr>
          <w:p w14:paraId="5ED819F6">
            <w:pPr>
              <w:jc w:val="left"/>
              <w:rPr>
                <w:rFonts w:ascii="宋体" w:hAnsi="宋体" w:cs="宋体"/>
                <w:kern w:val="0"/>
                <w:sz w:val="20"/>
                <w:szCs w:val="20"/>
              </w:rPr>
            </w:pPr>
          </w:p>
        </w:tc>
      </w:tr>
      <w:tr w14:paraId="73FD759B">
        <w:tblPrEx>
          <w:tblCellMar>
            <w:top w:w="0" w:type="dxa"/>
            <w:left w:w="108" w:type="dxa"/>
            <w:bottom w:w="0" w:type="dxa"/>
            <w:right w:w="108" w:type="dxa"/>
          </w:tblCellMar>
        </w:tblPrEx>
        <w:trPr>
          <w:trHeight w:val="342" w:hRule="atLeast"/>
        </w:trPr>
        <w:tc>
          <w:tcPr>
            <w:tcW w:w="7732"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4302873E">
            <w:pPr>
              <w:jc w:val="center"/>
              <w:rPr>
                <w:rFonts w:ascii="宋体" w:hAnsi="宋体" w:cs="宋体"/>
                <w:kern w:val="0"/>
                <w:sz w:val="20"/>
                <w:szCs w:val="20"/>
              </w:rPr>
            </w:pPr>
            <w:r>
              <w:rPr>
                <w:rFonts w:hint="eastAsia" w:ascii="宋体" w:hAnsi="宋体" w:cs="宋体"/>
                <w:kern w:val="0"/>
                <w:sz w:val="20"/>
                <w:szCs w:val="20"/>
              </w:rPr>
              <w:t>本页小计</w:t>
            </w:r>
          </w:p>
        </w:tc>
        <w:tc>
          <w:tcPr>
            <w:tcW w:w="1016" w:type="dxa"/>
            <w:tcBorders>
              <w:top w:val="nil"/>
              <w:left w:val="nil"/>
              <w:bottom w:val="single" w:color="auto" w:sz="4" w:space="0"/>
              <w:right w:val="single" w:color="auto" w:sz="4" w:space="0"/>
            </w:tcBorders>
            <w:shd w:val="clear" w:color="auto" w:fill="auto"/>
            <w:noWrap/>
            <w:vAlign w:val="center"/>
          </w:tcPr>
          <w:p w14:paraId="6649E173">
            <w:pPr>
              <w:jc w:val="right"/>
              <w:rPr>
                <w:rFonts w:ascii="宋体" w:hAnsi="宋体" w:cs="宋体"/>
                <w:kern w:val="0"/>
                <w:sz w:val="20"/>
                <w:szCs w:val="20"/>
              </w:rPr>
            </w:pPr>
            <w:r>
              <w:rPr>
                <w:rFonts w:hint="eastAsia" w:ascii="宋体" w:hAnsi="宋体" w:cs="宋体"/>
                <w:kern w:val="0"/>
                <w:sz w:val="20"/>
                <w:szCs w:val="20"/>
              </w:rPr>
              <w:t>　</w:t>
            </w:r>
          </w:p>
        </w:tc>
      </w:tr>
      <w:tr w14:paraId="21D932EF">
        <w:tblPrEx>
          <w:tblCellMar>
            <w:top w:w="0" w:type="dxa"/>
            <w:left w:w="108" w:type="dxa"/>
            <w:bottom w:w="0" w:type="dxa"/>
            <w:right w:w="108" w:type="dxa"/>
          </w:tblCellMar>
        </w:tblPrEx>
        <w:trPr>
          <w:trHeight w:val="372" w:hRule="atLeast"/>
        </w:trPr>
        <w:tc>
          <w:tcPr>
            <w:tcW w:w="7732"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0098951">
            <w:pPr>
              <w:jc w:val="center"/>
              <w:rPr>
                <w:rFonts w:ascii="宋体" w:hAnsi="宋体" w:cs="宋体"/>
                <w:kern w:val="0"/>
                <w:sz w:val="20"/>
                <w:szCs w:val="20"/>
              </w:rPr>
            </w:pPr>
            <w:r>
              <w:rPr>
                <w:rFonts w:hint="eastAsia" w:ascii="宋体" w:hAnsi="宋体" w:cs="宋体"/>
                <w:kern w:val="0"/>
                <w:sz w:val="20"/>
                <w:szCs w:val="20"/>
              </w:rPr>
              <w:t>合  计</w:t>
            </w:r>
          </w:p>
        </w:tc>
        <w:tc>
          <w:tcPr>
            <w:tcW w:w="1016" w:type="dxa"/>
            <w:tcBorders>
              <w:top w:val="nil"/>
              <w:left w:val="nil"/>
              <w:bottom w:val="single" w:color="auto" w:sz="4" w:space="0"/>
              <w:right w:val="single" w:color="auto" w:sz="4" w:space="0"/>
            </w:tcBorders>
            <w:shd w:val="clear" w:color="auto" w:fill="auto"/>
            <w:noWrap/>
            <w:vAlign w:val="center"/>
          </w:tcPr>
          <w:p w14:paraId="12559E4F">
            <w:pPr>
              <w:jc w:val="left"/>
              <w:rPr>
                <w:rFonts w:ascii="宋体" w:hAnsi="宋体" w:cs="宋体"/>
                <w:kern w:val="0"/>
                <w:sz w:val="20"/>
                <w:szCs w:val="20"/>
              </w:rPr>
            </w:pPr>
            <w:r>
              <w:rPr>
                <w:rFonts w:hint="eastAsia" w:ascii="宋体" w:hAnsi="宋体" w:cs="宋体"/>
                <w:kern w:val="0"/>
                <w:sz w:val="20"/>
                <w:szCs w:val="20"/>
              </w:rPr>
              <w:t>　</w:t>
            </w:r>
          </w:p>
        </w:tc>
      </w:tr>
    </w:tbl>
    <w:p w14:paraId="12BA977D">
      <w:pPr>
        <w:pStyle w:val="4"/>
        <w:keepNext w:val="0"/>
        <w:keepLines w:val="0"/>
      </w:pPr>
      <w:r>
        <w:rPr>
          <w:rFonts w:hint="eastAsia"/>
        </w:rPr>
        <w:t>（八）</w:t>
      </w:r>
      <w:r>
        <w:rPr>
          <w:rFonts w:hint="eastAsia"/>
          <w:kern w:val="0"/>
        </w:rPr>
        <w:t>其他项目清单与计价汇总表</w:t>
      </w:r>
    </w:p>
    <w:tbl>
      <w:tblPr>
        <w:tblStyle w:val="55"/>
        <w:tblW w:w="8804" w:type="dxa"/>
        <w:tblInd w:w="93" w:type="dxa"/>
        <w:tblLayout w:type="fixed"/>
        <w:tblCellMar>
          <w:top w:w="0" w:type="dxa"/>
          <w:left w:w="108" w:type="dxa"/>
          <w:bottom w:w="0" w:type="dxa"/>
          <w:right w:w="108" w:type="dxa"/>
        </w:tblCellMar>
      </w:tblPr>
      <w:tblGrid>
        <w:gridCol w:w="866"/>
        <w:gridCol w:w="2410"/>
        <w:gridCol w:w="2835"/>
        <w:gridCol w:w="2693"/>
      </w:tblGrid>
      <w:tr w14:paraId="4F6B1FD5">
        <w:tblPrEx>
          <w:tblCellMar>
            <w:top w:w="0" w:type="dxa"/>
            <w:left w:w="108" w:type="dxa"/>
            <w:bottom w:w="0" w:type="dxa"/>
            <w:right w:w="108" w:type="dxa"/>
          </w:tblCellMar>
        </w:tblPrEx>
        <w:trPr>
          <w:trHeight w:val="668" w:hRule="atLeast"/>
        </w:trPr>
        <w:tc>
          <w:tcPr>
            <w:tcW w:w="866" w:type="dxa"/>
            <w:tcBorders>
              <w:top w:val="nil"/>
              <w:left w:val="nil"/>
              <w:bottom w:val="nil"/>
              <w:right w:val="nil"/>
            </w:tcBorders>
            <w:shd w:val="clear" w:color="auto" w:fill="auto"/>
            <w:vAlign w:val="bottom"/>
          </w:tcPr>
          <w:p w14:paraId="3E01D9DB">
            <w:pPr>
              <w:jc w:val="left"/>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5245" w:type="dxa"/>
            <w:gridSpan w:val="2"/>
            <w:tcBorders>
              <w:top w:val="nil"/>
              <w:left w:val="nil"/>
              <w:bottom w:val="nil"/>
              <w:right w:val="nil"/>
            </w:tcBorders>
            <w:shd w:val="clear" w:color="auto" w:fill="auto"/>
            <w:vAlign w:val="bottom"/>
          </w:tcPr>
          <w:p w14:paraId="0DC909CF">
            <w:pPr>
              <w:jc w:val="left"/>
              <w:rPr>
                <w:rFonts w:ascii="宋体" w:hAnsi="宋体" w:cs="宋体"/>
                <w:kern w:val="0"/>
                <w:sz w:val="20"/>
                <w:szCs w:val="20"/>
              </w:rPr>
            </w:pPr>
            <w:r>
              <w:rPr>
                <w:rFonts w:hint="eastAsia" w:ascii="宋体" w:hAnsi="宋体" w:cs="宋体"/>
                <w:kern w:val="0"/>
                <w:sz w:val="20"/>
                <w:szCs w:val="20"/>
              </w:rPr>
              <w:t xml:space="preserve">            标段：</w:t>
            </w:r>
          </w:p>
        </w:tc>
        <w:tc>
          <w:tcPr>
            <w:tcW w:w="2693" w:type="dxa"/>
            <w:tcBorders>
              <w:top w:val="nil"/>
              <w:left w:val="nil"/>
              <w:bottom w:val="nil"/>
              <w:right w:val="nil"/>
            </w:tcBorders>
            <w:shd w:val="clear" w:color="auto" w:fill="auto"/>
            <w:vAlign w:val="bottom"/>
          </w:tcPr>
          <w:p w14:paraId="1E38F63C">
            <w:pPr>
              <w:jc w:val="right"/>
              <w:rPr>
                <w:rFonts w:ascii="宋体" w:hAnsi="宋体" w:cs="宋体"/>
                <w:kern w:val="0"/>
                <w:sz w:val="20"/>
                <w:szCs w:val="20"/>
              </w:rPr>
            </w:pPr>
            <w:r>
              <w:rPr>
                <w:rFonts w:hint="eastAsia" w:ascii="宋体" w:hAnsi="宋体" w:cs="宋体"/>
                <w:kern w:val="0"/>
                <w:sz w:val="20"/>
                <w:szCs w:val="20"/>
              </w:rPr>
              <w:t>第1页 共1页</w:t>
            </w:r>
          </w:p>
        </w:tc>
      </w:tr>
      <w:tr w14:paraId="4AEB7F6D">
        <w:tblPrEx>
          <w:tblCellMar>
            <w:top w:w="0" w:type="dxa"/>
            <w:left w:w="108" w:type="dxa"/>
            <w:bottom w:w="0" w:type="dxa"/>
            <w:right w:w="108" w:type="dxa"/>
          </w:tblCellMar>
        </w:tblPrEx>
        <w:trPr>
          <w:trHeight w:val="372" w:hRule="atLeast"/>
        </w:trPr>
        <w:tc>
          <w:tcPr>
            <w:tcW w:w="866" w:type="dxa"/>
            <w:tcBorders>
              <w:top w:val="single" w:color="auto" w:sz="4" w:space="0"/>
              <w:left w:val="single" w:color="auto" w:sz="4" w:space="0"/>
              <w:bottom w:val="single" w:color="000000" w:sz="4" w:space="0"/>
              <w:right w:val="single" w:color="000000" w:sz="4" w:space="0"/>
            </w:tcBorders>
            <w:shd w:val="clear" w:color="000000" w:fill="FFFFFF"/>
            <w:noWrap/>
            <w:vAlign w:val="center"/>
          </w:tcPr>
          <w:p w14:paraId="1013F21D">
            <w:pPr>
              <w:jc w:val="center"/>
              <w:rPr>
                <w:rFonts w:ascii="宋体" w:hAnsi="宋体" w:cs="宋体"/>
                <w:kern w:val="0"/>
                <w:sz w:val="20"/>
                <w:szCs w:val="20"/>
              </w:rPr>
            </w:pPr>
            <w:r>
              <w:rPr>
                <w:rFonts w:hint="eastAsia" w:ascii="宋体" w:hAnsi="宋体" w:cs="宋体"/>
                <w:kern w:val="0"/>
                <w:sz w:val="20"/>
                <w:szCs w:val="20"/>
              </w:rPr>
              <w:t>序号</w:t>
            </w:r>
          </w:p>
        </w:tc>
        <w:tc>
          <w:tcPr>
            <w:tcW w:w="2410" w:type="dxa"/>
            <w:tcBorders>
              <w:top w:val="single" w:color="auto" w:sz="4" w:space="0"/>
              <w:left w:val="nil"/>
              <w:bottom w:val="single" w:color="000000" w:sz="4" w:space="0"/>
              <w:right w:val="single" w:color="000000" w:sz="4" w:space="0"/>
            </w:tcBorders>
            <w:shd w:val="clear" w:color="000000" w:fill="FFFFFF"/>
            <w:vAlign w:val="center"/>
          </w:tcPr>
          <w:p w14:paraId="0511F68D">
            <w:pPr>
              <w:jc w:val="center"/>
              <w:rPr>
                <w:rFonts w:ascii="宋体" w:hAnsi="宋体" w:cs="宋体"/>
                <w:kern w:val="0"/>
                <w:sz w:val="20"/>
                <w:szCs w:val="20"/>
              </w:rPr>
            </w:pPr>
            <w:r>
              <w:rPr>
                <w:rFonts w:hint="eastAsia" w:ascii="宋体" w:hAnsi="宋体" w:cs="宋体"/>
                <w:kern w:val="0"/>
                <w:sz w:val="20"/>
                <w:szCs w:val="20"/>
              </w:rPr>
              <w:t>项目名称</w:t>
            </w:r>
          </w:p>
        </w:tc>
        <w:tc>
          <w:tcPr>
            <w:tcW w:w="2835" w:type="dxa"/>
            <w:tcBorders>
              <w:top w:val="single" w:color="auto" w:sz="4" w:space="0"/>
              <w:left w:val="nil"/>
              <w:bottom w:val="single" w:color="000000" w:sz="4" w:space="0"/>
              <w:right w:val="single" w:color="000000" w:sz="4" w:space="0"/>
            </w:tcBorders>
            <w:shd w:val="clear" w:color="000000" w:fill="FFFFFF"/>
            <w:vAlign w:val="center"/>
          </w:tcPr>
          <w:p w14:paraId="7E1E76FB">
            <w:pPr>
              <w:jc w:val="center"/>
              <w:rPr>
                <w:rFonts w:ascii="宋体" w:hAnsi="宋体" w:cs="宋体"/>
                <w:kern w:val="0"/>
                <w:sz w:val="20"/>
                <w:szCs w:val="20"/>
              </w:rPr>
            </w:pPr>
            <w:r>
              <w:rPr>
                <w:rFonts w:hint="eastAsia" w:ascii="宋体" w:hAnsi="宋体" w:cs="宋体"/>
                <w:kern w:val="0"/>
                <w:sz w:val="20"/>
                <w:szCs w:val="20"/>
              </w:rPr>
              <w:t>金额(元)</w:t>
            </w:r>
          </w:p>
        </w:tc>
        <w:tc>
          <w:tcPr>
            <w:tcW w:w="2693" w:type="dxa"/>
            <w:tcBorders>
              <w:top w:val="single" w:color="auto" w:sz="4" w:space="0"/>
              <w:left w:val="nil"/>
              <w:bottom w:val="single" w:color="000000" w:sz="4" w:space="0"/>
              <w:right w:val="single" w:color="auto" w:sz="4" w:space="0"/>
            </w:tcBorders>
            <w:shd w:val="clear" w:color="000000" w:fill="FFFFFF"/>
            <w:vAlign w:val="center"/>
          </w:tcPr>
          <w:p w14:paraId="49430842">
            <w:pPr>
              <w:jc w:val="center"/>
              <w:rPr>
                <w:rFonts w:ascii="宋体" w:hAnsi="宋体" w:cs="宋体"/>
                <w:kern w:val="0"/>
                <w:sz w:val="20"/>
                <w:szCs w:val="20"/>
              </w:rPr>
            </w:pPr>
            <w:r>
              <w:rPr>
                <w:rFonts w:hint="eastAsia" w:ascii="宋体" w:hAnsi="宋体" w:cs="宋体"/>
                <w:kern w:val="0"/>
                <w:sz w:val="20"/>
                <w:szCs w:val="20"/>
              </w:rPr>
              <w:t>备注</w:t>
            </w:r>
          </w:p>
        </w:tc>
      </w:tr>
      <w:tr w14:paraId="1BEBEC32">
        <w:tblPrEx>
          <w:tblCellMar>
            <w:top w:w="0" w:type="dxa"/>
            <w:left w:w="108" w:type="dxa"/>
            <w:bottom w:w="0" w:type="dxa"/>
            <w:right w:w="108" w:type="dxa"/>
          </w:tblCellMar>
        </w:tblPrEx>
        <w:trPr>
          <w:trHeight w:val="372"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14:paraId="24592E3A">
            <w:pPr>
              <w:jc w:val="center"/>
              <w:rPr>
                <w:rFonts w:ascii="宋体" w:hAnsi="宋体" w:cs="宋体"/>
                <w:kern w:val="0"/>
                <w:sz w:val="18"/>
                <w:szCs w:val="18"/>
              </w:rPr>
            </w:pPr>
          </w:p>
        </w:tc>
        <w:tc>
          <w:tcPr>
            <w:tcW w:w="2410" w:type="dxa"/>
            <w:tcBorders>
              <w:top w:val="single" w:color="auto" w:sz="4" w:space="0"/>
              <w:left w:val="nil"/>
              <w:bottom w:val="single" w:color="auto" w:sz="4" w:space="0"/>
              <w:right w:val="single" w:color="000000" w:sz="4" w:space="0"/>
            </w:tcBorders>
            <w:shd w:val="clear" w:color="000000" w:fill="FFFFFF"/>
            <w:vAlign w:val="center"/>
          </w:tcPr>
          <w:p w14:paraId="45FE5542">
            <w:pPr>
              <w:jc w:val="left"/>
              <w:rPr>
                <w:rFonts w:ascii="宋体" w:hAnsi="宋体" w:cs="宋体"/>
                <w:kern w:val="0"/>
                <w:sz w:val="18"/>
                <w:szCs w:val="18"/>
              </w:rPr>
            </w:pPr>
          </w:p>
        </w:tc>
        <w:tc>
          <w:tcPr>
            <w:tcW w:w="2835" w:type="dxa"/>
            <w:tcBorders>
              <w:top w:val="nil"/>
              <w:left w:val="nil"/>
              <w:bottom w:val="single" w:color="auto" w:sz="4" w:space="0"/>
              <w:right w:val="single" w:color="auto" w:sz="4" w:space="0"/>
            </w:tcBorders>
            <w:shd w:val="clear" w:color="000000" w:fill="FFFFFF"/>
            <w:noWrap/>
            <w:vAlign w:val="center"/>
          </w:tcPr>
          <w:p w14:paraId="6EDE315E">
            <w:pPr>
              <w:jc w:val="right"/>
              <w:rPr>
                <w:rFonts w:ascii="宋体" w:hAnsi="宋体" w:cs="宋体"/>
                <w:kern w:val="0"/>
                <w:sz w:val="18"/>
                <w:szCs w:val="18"/>
              </w:rPr>
            </w:pPr>
          </w:p>
        </w:tc>
        <w:tc>
          <w:tcPr>
            <w:tcW w:w="2693" w:type="dxa"/>
            <w:tcBorders>
              <w:top w:val="nil"/>
              <w:left w:val="nil"/>
              <w:bottom w:val="single" w:color="auto" w:sz="4" w:space="0"/>
              <w:right w:val="single" w:color="auto" w:sz="4" w:space="0"/>
            </w:tcBorders>
            <w:shd w:val="clear" w:color="000000" w:fill="FFFFFF"/>
            <w:vAlign w:val="center"/>
          </w:tcPr>
          <w:p w14:paraId="3122CD6A">
            <w:pPr>
              <w:jc w:val="left"/>
              <w:rPr>
                <w:rFonts w:ascii="宋体" w:hAnsi="宋体" w:cs="宋体"/>
                <w:kern w:val="0"/>
                <w:sz w:val="18"/>
                <w:szCs w:val="18"/>
              </w:rPr>
            </w:pPr>
          </w:p>
        </w:tc>
      </w:tr>
      <w:tr w14:paraId="2141F8D6">
        <w:tblPrEx>
          <w:tblCellMar>
            <w:top w:w="0" w:type="dxa"/>
            <w:left w:w="108" w:type="dxa"/>
            <w:bottom w:w="0" w:type="dxa"/>
            <w:right w:w="108" w:type="dxa"/>
          </w:tblCellMar>
        </w:tblPrEx>
        <w:trPr>
          <w:trHeight w:val="372"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14:paraId="748575B7">
            <w:pPr>
              <w:jc w:val="center"/>
              <w:rPr>
                <w:rFonts w:ascii="宋体" w:hAnsi="宋体" w:cs="宋体"/>
                <w:kern w:val="0"/>
                <w:sz w:val="18"/>
                <w:szCs w:val="18"/>
              </w:rPr>
            </w:pPr>
          </w:p>
        </w:tc>
        <w:tc>
          <w:tcPr>
            <w:tcW w:w="2410" w:type="dxa"/>
            <w:tcBorders>
              <w:top w:val="single" w:color="auto" w:sz="4" w:space="0"/>
              <w:left w:val="nil"/>
              <w:bottom w:val="single" w:color="auto" w:sz="4" w:space="0"/>
              <w:right w:val="single" w:color="000000" w:sz="4" w:space="0"/>
            </w:tcBorders>
            <w:shd w:val="clear" w:color="000000" w:fill="FFFFFF"/>
            <w:vAlign w:val="center"/>
          </w:tcPr>
          <w:p w14:paraId="26BD09AF">
            <w:pPr>
              <w:jc w:val="left"/>
              <w:rPr>
                <w:rFonts w:ascii="宋体" w:hAnsi="宋体" w:cs="宋体"/>
                <w:kern w:val="0"/>
                <w:sz w:val="18"/>
                <w:szCs w:val="18"/>
              </w:rPr>
            </w:pPr>
          </w:p>
        </w:tc>
        <w:tc>
          <w:tcPr>
            <w:tcW w:w="2835" w:type="dxa"/>
            <w:tcBorders>
              <w:top w:val="nil"/>
              <w:left w:val="nil"/>
              <w:bottom w:val="single" w:color="auto" w:sz="4" w:space="0"/>
              <w:right w:val="single" w:color="auto" w:sz="4" w:space="0"/>
            </w:tcBorders>
            <w:shd w:val="clear" w:color="000000" w:fill="FFFFFF"/>
            <w:noWrap/>
            <w:vAlign w:val="center"/>
          </w:tcPr>
          <w:p w14:paraId="6BFCB4BD">
            <w:pPr>
              <w:jc w:val="right"/>
              <w:rPr>
                <w:rFonts w:ascii="宋体" w:hAnsi="宋体" w:cs="宋体"/>
                <w:kern w:val="0"/>
                <w:sz w:val="18"/>
                <w:szCs w:val="18"/>
              </w:rPr>
            </w:pPr>
          </w:p>
        </w:tc>
        <w:tc>
          <w:tcPr>
            <w:tcW w:w="2693" w:type="dxa"/>
            <w:tcBorders>
              <w:top w:val="nil"/>
              <w:left w:val="nil"/>
              <w:bottom w:val="single" w:color="auto" w:sz="4" w:space="0"/>
              <w:right w:val="single" w:color="auto" w:sz="4" w:space="0"/>
            </w:tcBorders>
            <w:shd w:val="clear" w:color="000000" w:fill="FFFFFF"/>
            <w:vAlign w:val="center"/>
          </w:tcPr>
          <w:p w14:paraId="20677647">
            <w:pPr>
              <w:jc w:val="left"/>
              <w:rPr>
                <w:rFonts w:ascii="宋体" w:hAnsi="宋体" w:cs="宋体"/>
                <w:kern w:val="0"/>
                <w:sz w:val="18"/>
                <w:szCs w:val="18"/>
              </w:rPr>
            </w:pPr>
          </w:p>
        </w:tc>
      </w:tr>
      <w:tr w14:paraId="01CD62F0">
        <w:tblPrEx>
          <w:tblCellMar>
            <w:top w:w="0" w:type="dxa"/>
            <w:left w:w="108" w:type="dxa"/>
            <w:bottom w:w="0" w:type="dxa"/>
            <w:right w:w="108" w:type="dxa"/>
          </w:tblCellMar>
        </w:tblPrEx>
        <w:trPr>
          <w:trHeight w:val="372"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14:paraId="03EAC444">
            <w:pPr>
              <w:jc w:val="center"/>
              <w:rPr>
                <w:rFonts w:ascii="宋体" w:hAnsi="宋体" w:cs="宋体"/>
                <w:kern w:val="0"/>
                <w:sz w:val="18"/>
                <w:szCs w:val="18"/>
              </w:rPr>
            </w:pPr>
          </w:p>
        </w:tc>
        <w:tc>
          <w:tcPr>
            <w:tcW w:w="2410" w:type="dxa"/>
            <w:tcBorders>
              <w:top w:val="single" w:color="auto" w:sz="4" w:space="0"/>
              <w:left w:val="nil"/>
              <w:bottom w:val="single" w:color="auto" w:sz="4" w:space="0"/>
              <w:right w:val="single" w:color="000000" w:sz="4" w:space="0"/>
            </w:tcBorders>
            <w:shd w:val="clear" w:color="000000" w:fill="FFFFFF"/>
            <w:vAlign w:val="center"/>
          </w:tcPr>
          <w:p w14:paraId="7E628F17">
            <w:pPr>
              <w:jc w:val="left"/>
              <w:rPr>
                <w:rFonts w:ascii="宋体" w:hAnsi="宋体" w:cs="宋体"/>
                <w:kern w:val="0"/>
                <w:sz w:val="18"/>
                <w:szCs w:val="18"/>
              </w:rPr>
            </w:pPr>
          </w:p>
        </w:tc>
        <w:tc>
          <w:tcPr>
            <w:tcW w:w="2835" w:type="dxa"/>
            <w:tcBorders>
              <w:top w:val="nil"/>
              <w:left w:val="nil"/>
              <w:bottom w:val="single" w:color="auto" w:sz="4" w:space="0"/>
              <w:right w:val="single" w:color="auto" w:sz="4" w:space="0"/>
            </w:tcBorders>
            <w:shd w:val="clear" w:color="000000" w:fill="FFFFFF"/>
            <w:noWrap/>
            <w:vAlign w:val="center"/>
          </w:tcPr>
          <w:p w14:paraId="5B4C6FED">
            <w:pPr>
              <w:jc w:val="right"/>
              <w:rPr>
                <w:rFonts w:ascii="宋体" w:hAnsi="宋体" w:cs="宋体"/>
                <w:kern w:val="0"/>
                <w:sz w:val="18"/>
                <w:szCs w:val="18"/>
              </w:rPr>
            </w:pPr>
          </w:p>
        </w:tc>
        <w:tc>
          <w:tcPr>
            <w:tcW w:w="2693" w:type="dxa"/>
            <w:tcBorders>
              <w:top w:val="nil"/>
              <w:left w:val="nil"/>
              <w:bottom w:val="single" w:color="auto" w:sz="4" w:space="0"/>
              <w:right w:val="single" w:color="auto" w:sz="4" w:space="0"/>
            </w:tcBorders>
            <w:shd w:val="clear" w:color="000000" w:fill="FFFFFF"/>
            <w:vAlign w:val="center"/>
          </w:tcPr>
          <w:p w14:paraId="23BD9CFA">
            <w:pPr>
              <w:jc w:val="left"/>
              <w:rPr>
                <w:rFonts w:ascii="宋体" w:hAnsi="宋体" w:cs="宋体"/>
                <w:kern w:val="0"/>
                <w:sz w:val="18"/>
                <w:szCs w:val="18"/>
              </w:rPr>
            </w:pPr>
          </w:p>
        </w:tc>
      </w:tr>
      <w:tr w14:paraId="1B8006AA">
        <w:tblPrEx>
          <w:tblCellMar>
            <w:top w:w="0" w:type="dxa"/>
            <w:left w:w="108" w:type="dxa"/>
            <w:bottom w:w="0" w:type="dxa"/>
            <w:right w:w="108" w:type="dxa"/>
          </w:tblCellMar>
        </w:tblPrEx>
        <w:trPr>
          <w:trHeight w:val="372"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14:paraId="6C2C4846">
            <w:pPr>
              <w:jc w:val="center"/>
              <w:rPr>
                <w:rFonts w:ascii="宋体" w:hAnsi="宋体" w:cs="宋体"/>
                <w:kern w:val="0"/>
                <w:sz w:val="18"/>
                <w:szCs w:val="18"/>
              </w:rPr>
            </w:pPr>
          </w:p>
        </w:tc>
        <w:tc>
          <w:tcPr>
            <w:tcW w:w="2410" w:type="dxa"/>
            <w:tcBorders>
              <w:top w:val="single" w:color="auto" w:sz="4" w:space="0"/>
              <w:left w:val="nil"/>
              <w:bottom w:val="single" w:color="auto" w:sz="4" w:space="0"/>
              <w:right w:val="single" w:color="000000" w:sz="4" w:space="0"/>
            </w:tcBorders>
            <w:shd w:val="clear" w:color="000000" w:fill="FFFFFF"/>
            <w:vAlign w:val="center"/>
          </w:tcPr>
          <w:p w14:paraId="1055B856">
            <w:pPr>
              <w:jc w:val="left"/>
              <w:rPr>
                <w:rFonts w:ascii="宋体" w:hAnsi="宋体" w:cs="宋体"/>
                <w:kern w:val="0"/>
                <w:sz w:val="18"/>
                <w:szCs w:val="18"/>
              </w:rPr>
            </w:pPr>
          </w:p>
        </w:tc>
        <w:tc>
          <w:tcPr>
            <w:tcW w:w="2835" w:type="dxa"/>
            <w:tcBorders>
              <w:top w:val="nil"/>
              <w:left w:val="nil"/>
              <w:bottom w:val="single" w:color="auto" w:sz="4" w:space="0"/>
              <w:right w:val="single" w:color="auto" w:sz="4" w:space="0"/>
            </w:tcBorders>
            <w:shd w:val="clear" w:color="000000" w:fill="FFFFFF"/>
            <w:noWrap/>
            <w:vAlign w:val="center"/>
          </w:tcPr>
          <w:p w14:paraId="32039139">
            <w:pPr>
              <w:jc w:val="right"/>
              <w:rPr>
                <w:rFonts w:ascii="宋体" w:hAnsi="宋体" w:cs="宋体"/>
                <w:kern w:val="0"/>
                <w:sz w:val="18"/>
                <w:szCs w:val="18"/>
              </w:rPr>
            </w:pPr>
          </w:p>
        </w:tc>
        <w:tc>
          <w:tcPr>
            <w:tcW w:w="2693" w:type="dxa"/>
            <w:tcBorders>
              <w:top w:val="nil"/>
              <w:left w:val="nil"/>
              <w:bottom w:val="single" w:color="auto" w:sz="4" w:space="0"/>
              <w:right w:val="single" w:color="auto" w:sz="4" w:space="0"/>
            </w:tcBorders>
            <w:shd w:val="clear" w:color="000000" w:fill="FFFFFF"/>
            <w:vAlign w:val="center"/>
          </w:tcPr>
          <w:p w14:paraId="3B7FE41B">
            <w:pPr>
              <w:jc w:val="left"/>
              <w:rPr>
                <w:rFonts w:ascii="宋体" w:hAnsi="宋体" w:cs="宋体"/>
                <w:kern w:val="0"/>
                <w:sz w:val="18"/>
                <w:szCs w:val="18"/>
              </w:rPr>
            </w:pPr>
          </w:p>
        </w:tc>
      </w:tr>
      <w:tr w14:paraId="09C3A2D7">
        <w:tblPrEx>
          <w:tblCellMar>
            <w:top w:w="0" w:type="dxa"/>
            <w:left w:w="108" w:type="dxa"/>
            <w:bottom w:w="0" w:type="dxa"/>
            <w:right w:w="108" w:type="dxa"/>
          </w:tblCellMar>
        </w:tblPrEx>
        <w:trPr>
          <w:trHeight w:val="342"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A5F187E">
            <w:pPr>
              <w:jc w:val="left"/>
              <w:rPr>
                <w:rFonts w:ascii="宋体" w:hAnsi="宋体" w:cs="宋体"/>
                <w:kern w:val="0"/>
                <w:sz w:val="20"/>
                <w:szCs w:val="20"/>
              </w:rPr>
            </w:pPr>
          </w:p>
        </w:tc>
        <w:tc>
          <w:tcPr>
            <w:tcW w:w="2410" w:type="dxa"/>
            <w:tcBorders>
              <w:top w:val="single" w:color="auto" w:sz="4" w:space="0"/>
              <w:left w:val="nil"/>
              <w:bottom w:val="single" w:color="auto" w:sz="4" w:space="0"/>
              <w:right w:val="single" w:color="000000" w:sz="4" w:space="0"/>
            </w:tcBorders>
            <w:shd w:val="clear" w:color="auto" w:fill="auto"/>
            <w:noWrap/>
            <w:vAlign w:val="center"/>
          </w:tcPr>
          <w:p w14:paraId="0396E8A2">
            <w:pPr>
              <w:jc w:val="left"/>
              <w:rPr>
                <w:rFonts w:ascii="宋体" w:hAnsi="宋体" w:cs="宋体"/>
                <w:kern w:val="0"/>
                <w:sz w:val="20"/>
                <w:szCs w:val="20"/>
              </w:rPr>
            </w:pPr>
          </w:p>
        </w:tc>
        <w:tc>
          <w:tcPr>
            <w:tcW w:w="2835" w:type="dxa"/>
            <w:tcBorders>
              <w:top w:val="nil"/>
              <w:left w:val="nil"/>
              <w:bottom w:val="single" w:color="auto" w:sz="4" w:space="0"/>
              <w:right w:val="single" w:color="auto" w:sz="4" w:space="0"/>
            </w:tcBorders>
            <w:shd w:val="clear" w:color="auto" w:fill="auto"/>
            <w:noWrap/>
            <w:vAlign w:val="center"/>
          </w:tcPr>
          <w:p w14:paraId="191CB0DA">
            <w:pPr>
              <w:jc w:val="left"/>
              <w:rPr>
                <w:rFonts w:ascii="宋体" w:hAnsi="宋体" w:cs="宋体"/>
                <w:kern w:val="0"/>
                <w:sz w:val="20"/>
                <w:szCs w:val="20"/>
              </w:rPr>
            </w:pPr>
          </w:p>
        </w:tc>
        <w:tc>
          <w:tcPr>
            <w:tcW w:w="2693" w:type="dxa"/>
            <w:tcBorders>
              <w:top w:val="nil"/>
              <w:left w:val="nil"/>
              <w:bottom w:val="single" w:color="auto" w:sz="4" w:space="0"/>
              <w:right w:val="single" w:color="auto" w:sz="4" w:space="0"/>
            </w:tcBorders>
            <w:shd w:val="clear" w:color="auto" w:fill="auto"/>
            <w:noWrap/>
            <w:vAlign w:val="center"/>
          </w:tcPr>
          <w:p w14:paraId="16DA3D79">
            <w:pPr>
              <w:jc w:val="left"/>
              <w:rPr>
                <w:rFonts w:ascii="宋体" w:hAnsi="宋体" w:cs="宋体"/>
                <w:kern w:val="0"/>
                <w:sz w:val="20"/>
                <w:szCs w:val="20"/>
              </w:rPr>
            </w:pPr>
          </w:p>
        </w:tc>
      </w:tr>
      <w:tr w14:paraId="05268C06">
        <w:tblPrEx>
          <w:tblCellMar>
            <w:top w:w="0" w:type="dxa"/>
            <w:left w:w="108" w:type="dxa"/>
            <w:bottom w:w="0" w:type="dxa"/>
            <w:right w:w="108" w:type="dxa"/>
          </w:tblCellMar>
        </w:tblPrEx>
        <w:trPr>
          <w:trHeight w:val="342"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6FE822E">
            <w:pPr>
              <w:jc w:val="left"/>
              <w:rPr>
                <w:rFonts w:ascii="宋体" w:hAnsi="宋体" w:cs="宋体"/>
                <w:kern w:val="0"/>
                <w:sz w:val="20"/>
                <w:szCs w:val="20"/>
              </w:rPr>
            </w:pPr>
          </w:p>
        </w:tc>
        <w:tc>
          <w:tcPr>
            <w:tcW w:w="2410" w:type="dxa"/>
            <w:tcBorders>
              <w:top w:val="single" w:color="auto" w:sz="4" w:space="0"/>
              <w:left w:val="nil"/>
              <w:bottom w:val="single" w:color="auto" w:sz="4" w:space="0"/>
              <w:right w:val="single" w:color="000000" w:sz="4" w:space="0"/>
            </w:tcBorders>
            <w:shd w:val="clear" w:color="auto" w:fill="auto"/>
            <w:noWrap/>
            <w:vAlign w:val="center"/>
          </w:tcPr>
          <w:p w14:paraId="03DA515D">
            <w:pPr>
              <w:jc w:val="left"/>
              <w:rPr>
                <w:rFonts w:ascii="宋体" w:hAnsi="宋体" w:cs="宋体"/>
                <w:kern w:val="0"/>
                <w:sz w:val="20"/>
                <w:szCs w:val="20"/>
              </w:rPr>
            </w:pPr>
          </w:p>
        </w:tc>
        <w:tc>
          <w:tcPr>
            <w:tcW w:w="2835" w:type="dxa"/>
            <w:tcBorders>
              <w:top w:val="nil"/>
              <w:left w:val="nil"/>
              <w:bottom w:val="single" w:color="auto" w:sz="4" w:space="0"/>
              <w:right w:val="single" w:color="auto" w:sz="4" w:space="0"/>
            </w:tcBorders>
            <w:shd w:val="clear" w:color="auto" w:fill="auto"/>
            <w:noWrap/>
            <w:vAlign w:val="center"/>
          </w:tcPr>
          <w:p w14:paraId="5A4466D1">
            <w:pPr>
              <w:jc w:val="left"/>
              <w:rPr>
                <w:rFonts w:ascii="宋体" w:hAnsi="宋体" w:cs="宋体"/>
                <w:kern w:val="0"/>
                <w:sz w:val="20"/>
                <w:szCs w:val="20"/>
              </w:rPr>
            </w:pPr>
          </w:p>
        </w:tc>
        <w:tc>
          <w:tcPr>
            <w:tcW w:w="2693" w:type="dxa"/>
            <w:tcBorders>
              <w:top w:val="nil"/>
              <w:left w:val="nil"/>
              <w:bottom w:val="single" w:color="auto" w:sz="4" w:space="0"/>
              <w:right w:val="single" w:color="auto" w:sz="4" w:space="0"/>
            </w:tcBorders>
            <w:shd w:val="clear" w:color="auto" w:fill="auto"/>
            <w:noWrap/>
            <w:vAlign w:val="center"/>
          </w:tcPr>
          <w:p w14:paraId="010EB36B">
            <w:pPr>
              <w:jc w:val="left"/>
              <w:rPr>
                <w:rFonts w:ascii="宋体" w:hAnsi="宋体" w:cs="宋体"/>
                <w:kern w:val="0"/>
                <w:sz w:val="20"/>
                <w:szCs w:val="20"/>
              </w:rPr>
            </w:pPr>
          </w:p>
        </w:tc>
      </w:tr>
      <w:tr w14:paraId="643C8D8E">
        <w:tblPrEx>
          <w:tblCellMar>
            <w:top w:w="0" w:type="dxa"/>
            <w:left w:w="108" w:type="dxa"/>
            <w:bottom w:w="0" w:type="dxa"/>
            <w:right w:w="108" w:type="dxa"/>
          </w:tblCellMar>
        </w:tblPrEx>
        <w:trPr>
          <w:trHeight w:val="342"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E26B85B">
            <w:pPr>
              <w:jc w:val="left"/>
              <w:rPr>
                <w:rFonts w:ascii="宋体" w:hAnsi="宋体" w:cs="宋体"/>
                <w:kern w:val="0"/>
                <w:sz w:val="20"/>
                <w:szCs w:val="20"/>
              </w:rPr>
            </w:pPr>
          </w:p>
        </w:tc>
        <w:tc>
          <w:tcPr>
            <w:tcW w:w="2410" w:type="dxa"/>
            <w:tcBorders>
              <w:top w:val="single" w:color="auto" w:sz="4" w:space="0"/>
              <w:left w:val="nil"/>
              <w:bottom w:val="single" w:color="auto" w:sz="4" w:space="0"/>
              <w:right w:val="single" w:color="000000" w:sz="4" w:space="0"/>
            </w:tcBorders>
            <w:shd w:val="clear" w:color="auto" w:fill="auto"/>
            <w:noWrap/>
            <w:vAlign w:val="center"/>
          </w:tcPr>
          <w:p w14:paraId="25E9E621">
            <w:pPr>
              <w:jc w:val="left"/>
              <w:rPr>
                <w:rFonts w:ascii="宋体" w:hAnsi="宋体" w:cs="宋体"/>
                <w:kern w:val="0"/>
                <w:sz w:val="20"/>
                <w:szCs w:val="20"/>
              </w:rPr>
            </w:pPr>
          </w:p>
        </w:tc>
        <w:tc>
          <w:tcPr>
            <w:tcW w:w="2835" w:type="dxa"/>
            <w:tcBorders>
              <w:top w:val="nil"/>
              <w:left w:val="nil"/>
              <w:bottom w:val="single" w:color="auto" w:sz="4" w:space="0"/>
              <w:right w:val="single" w:color="auto" w:sz="4" w:space="0"/>
            </w:tcBorders>
            <w:shd w:val="clear" w:color="auto" w:fill="auto"/>
            <w:noWrap/>
            <w:vAlign w:val="center"/>
          </w:tcPr>
          <w:p w14:paraId="3C6F07FC">
            <w:pPr>
              <w:jc w:val="left"/>
              <w:rPr>
                <w:rFonts w:ascii="宋体" w:hAnsi="宋体" w:cs="宋体"/>
                <w:kern w:val="0"/>
                <w:sz w:val="20"/>
                <w:szCs w:val="20"/>
              </w:rPr>
            </w:pPr>
          </w:p>
        </w:tc>
        <w:tc>
          <w:tcPr>
            <w:tcW w:w="2693" w:type="dxa"/>
            <w:tcBorders>
              <w:top w:val="nil"/>
              <w:left w:val="nil"/>
              <w:bottom w:val="single" w:color="auto" w:sz="4" w:space="0"/>
              <w:right w:val="single" w:color="auto" w:sz="4" w:space="0"/>
            </w:tcBorders>
            <w:shd w:val="clear" w:color="auto" w:fill="auto"/>
            <w:noWrap/>
            <w:vAlign w:val="center"/>
          </w:tcPr>
          <w:p w14:paraId="702648EB">
            <w:pPr>
              <w:jc w:val="left"/>
              <w:rPr>
                <w:rFonts w:ascii="宋体" w:hAnsi="宋体" w:cs="宋体"/>
                <w:kern w:val="0"/>
                <w:sz w:val="20"/>
                <w:szCs w:val="20"/>
              </w:rPr>
            </w:pPr>
          </w:p>
        </w:tc>
      </w:tr>
      <w:tr w14:paraId="0F876D77">
        <w:tblPrEx>
          <w:tblCellMar>
            <w:top w:w="0" w:type="dxa"/>
            <w:left w:w="108" w:type="dxa"/>
            <w:bottom w:w="0" w:type="dxa"/>
            <w:right w:w="108" w:type="dxa"/>
          </w:tblCellMar>
        </w:tblPrEx>
        <w:trPr>
          <w:trHeight w:val="342"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88C6EF0">
            <w:pPr>
              <w:jc w:val="left"/>
              <w:rPr>
                <w:rFonts w:ascii="宋体" w:hAnsi="宋体" w:cs="宋体"/>
                <w:kern w:val="0"/>
                <w:sz w:val="20"/>
                <w:szCs w:val="20"/>
              </w:rPr>
            </w:pPr>
          </w:p>
        </w:tc>
        <w:tc>
          <w:tcPr>
            <w:tcW w:w="2410" w:type="dxa"/>
            <w:tcBorders>
              <w:top w:val="single" w:color="auto" w:sz="4" w:space="0"/>
              <w:left w:val="nil"/>
              <w:bottom w:val="single" w:color="auto" w:sz="4" w:space="0"/>
              <w:right w:val="single" w:color="000000" w:sz="4" w:space="0"/>
            </w:tcBorders>
            <w:shd w:val="clear" w:color="auto" w:fill="auto"/>
            <w:noWrap/>
            <w:vAlign w:val="center"/>
          </w:tcPr>
          <w:p w14:paraId="0FF5D1A0">
            <w:pPr>
              <w:jc w:val="left"/>
              <w:rPr>
                <w:rFonts w:ascii="宋体" w:hAnsi="宋体" w:cs="宋体"/>
                <w:kern w:val="0"/>
                <w:sz w:val="20"/>
                <w:szCs w:val="20"/>
              </w:rPr>
            </w:pPr>
          </w:p>
        </w:tc>
        <w:tc>
          <w:tcPr>
            <w:tcW w:w="2835" w:type="dxa"/>
            <w:tcBorders>
              <w:top w:val="nil"/>
              <w:left w:val="nil"/>
              <w:bottom w:val="single" w:color="auto" w:sz="4" w:space="0"/>
              <w:right w:val="single" w:color="auto" w:sz="4" w:space="0"/>
            </w:tcBorders>
            <w:shd w:val="clear" w:color="auto" w:fill="auto"/>
            <w:noWrap/>
            <w:vAlign w:val="center"/>
          </w:tcPr>
          <w:p w14:paraId="280C529E">
            <w:pPr>
              <w:jc w:val="left"/>
              <w:rPr>
                <w:rFonts w:ascii="宋体" w:hAnsi="宋体" w:cs="宋体"/>
                <w:kern w:val="0"/>
                <w:sz w:val="20"/>
                <w:szCs w:val="20"/>
              </w:rPr>
            </w:pPr>
          </w:p>
        </w:tc>
        <w:tc>
          <w:tcPr>
            <w:tcW w:w="2693" w:type="dxa"/>
            <w:tcBorders>
              <w:top w:val="nil"/>
              <w:left w:val="nil"/>
              <w:bottom w:val="single" w:color="auto" w:sz="4" w:space="0"/>
              <w:right w:val="single" w:color="auto" w:sz="4" w:space="0"/>
            </w:tcBorders>
            <w:shd w:val="clear" w:color="auto" w:fill="auto"/>
            <w:noWrap/>
            <w:vAlign w:val="center"/>
          </w:tcPr>
          <w:p w14:paraId="150DE874">
            <w:pPr>
              <w:jc w:val="left"/>
              <w:rPr>
                <w:rFonts w:ascii="宋体" w:hAnsi="宋体" w:cs="宋体"/>
                <w:kern w:val="0"/>
                <w:sz w:val="20"/>
                <w:szCs w:val="20"/>
              </w:rPr>
            </w:pPr>
          </w:p>
        </w:tc>
      </w:tr>
      <w:tr w14:paraId="5513736A">
        <w:tblPrEx>
          <w:tblCellMar>
            <w:top w:w="0" w:type="dxa"/>
            <w:left w:w="108" w:type="dxa"/>
            <w:bottom w:w="0" w:type="dxa"/>
            <w:right w:w="108" w:type="dxa"/>
          </w:tblCellMar>
        </w:tblPrEx>
        <w:trPr>
          <w:trHeight w:val="342"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7B60635">
            <w:pPr>
              <w:jc w:val="left"/>
              <w:rPr>
                <w:rFonts w:ascii="宋体" w:hAnsi="宋体" w:cs="宋体"/>
                <w:kern w:val="0"/>
                <w:sz w:val="20"/>
                <w:szCs w:val="20"/>
              </w:rPr>
            </w:pPr>
          </w:p>
        </w:tc>
        <w:tc>
          <w:tcPr>
            <w:tcW w:w="2410" w:type="dxa"/>
            <w:tcBorders>
              <w:top w:val="single" w:color="auto" w:sz="4" w:space="0"/>
              <w:left w:val="nil"/>
              <w:bottom w:val="single" w:color="auto" w:sz="4" w:space="0"/>
              <w:right w:val="single" w:color="000000" w:sz="4" w:space="0"/>
            </w:tcBorders>
            <w:shd w:val="clear" w:color="auto" w:fill="auto"/>
            <w:noWrap/>
            <w:vAlign w:val="center"/>
          </w:tcPr>
          <w:p w14:paraId="3AFEF802">
            <w:pPr>
              <w:jc w:val="left"/>
              <w:rPr>
                <w:rFonts w:ascii="宋体" w:hAnsi="宋体" w:cs="宋体"/>
                <w:kern w:val="0"/>
                <w:sz w:val="20"/>
                <w:szCs w:val="20"/>
              </w:rPr>
            </w:pPr>
          </w:p>
        </w:tc>
        <w:tc>
          <w:tcPr>
            <w:tcW w:w="2835" w:type="dxa"/>
            <w:tcBorders>
              <w:top w:val="nil"/>
              <w:left w:val="nil"/>
              <w:bottom w:val="single" w:color="auto" w:sz="4" w:space="0"/>
              <w:right w:val="single" w:color="auto" w:sz="4" w:space="0"/>
            </w:tcBorders>
            <w:shd w:val="clear" w:color="auto" w:fill="auto"/>
            <w:noWrap/>
            <w:vAlign w:val="center"/>
          </w:tcPr>
          <w:p w14:paraId="21B163AC">
            <w:pPr>
              <w:jc w:val="left"/>
              <w:rPr>
                <w:rFonts w:ascii="宋体" w:hAnsi="宋体" w:cs="宋体"/>
                <w:kern w:val="0"/>
                <w:sz w:val="20"/>
                <w:szCs w:val="20"/>
              </w:rPr>
            </w:pPr>
          </w:p>
        </w:tc>
        <w:tc>
          <w:tcPr>
            <w:tcW w:w="2693" w:type="dxa"/>
            <w:tcBorders>
              <w:top w:val="nil"/>
              <w:left w:val="nil"/>
              <w:bottom w:val="single" w:color="auto" w:sz="4" w:space="0"/>
              <w:right w:val="single" w:color="auto" w:sz="4" w:space="0"/>
            </w:tcBorders>
            <w:shd w:val="clear" w:color="auto" w:fill="auto"/>
            <w:noWrap/>
            <w:vAlign w:val="center"/>
          </w:tcPr>
          <w:p w14:paraId="0A35B14D">
            <w:pPr>
              <w:jc w:val="left"/>
              <w:rPr>
                <w:rFonts w:ascii="宋体" w:hAnsi="宋体" w:cs="宋体"/>
                <w:kern w:val="0"/>
                <w:sz w:val="20"/>
                <w:szCs w:val="20"/>
              </w:rPr>
            </w:pPr>
          </w:p>
        </w:tc>
      </w:tr>
      <w:tr w14:paraId="266DB0AF">
        <w:tblPrEx>
          <w:tblCellMar>
            <w:top w:w="0" w:type="dxa"/>
            <w:left w:w="108" w:type="dxa"/>
            <w:bottom w:w="0" w:type="dxa"/>
            <w:right w:w="108" w:type="dxa"/>
          </w:tblCellMar>
        </w:tblPrEx>
        <w:trPr>
          <w:trHeight w:val="342" w:hRule="atLeast"/>
        </w:trPr>
        <w:tc>
          <w:tcPr>
            <w:tcW w:w="611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4AF790C">
            <w:pPr>
              <w:jc w:val="center"/>
              <w:rPr>
                <w:rFonts w:ascii="宋体" w:hAnsi="宋体" w:cs="宋体"/>
                <w:kern w:val="0"/>
                <w:sz w:val="20"/>
                <w:szCs w:val="20"/>
              </w:rPr>
            </w:pPr>
            <w:r>
              <w:rPr>
                <w:rFonts w:hint="eastAsia" w:ascii="宋体" w:hAnsi="宋体" w:cs="宋体"/>
                <w:kern w:val="0"/>
                <w:sz w:val="20"/>
                <w:szCs w:val="20"/>
              </w:rPr>
              <w:t>本页小计</w:t>
            </w:r>
          </w:p>
        </w:tc>
        <w:tc>
          <w:tcPr>
            <w:tcW w:w="2693" w:type="dxa"/>
            <w:tcBorders>
              <w:top w:val="nil"/>
              <w:left w:val="nil"/>
              <w:bottom w:val="single" w:color="auto" w:sz="4" w:space="0"/>
              <w:right w:val="single" w:color="auto" w:sz="4" w:space="0"/>
            </w:tcBorders>
            <w:shd w:val="clear" w:color="auto" w:fill="auto"/>
            <w:noWrap/>
            <w:vAlign w:val="center"/>
          </w:tcPr>
          <w:p w14:paraId="7EFE04B9">
            <w:pPr>
              <w:jc w:val="right"/>
              <w:rPr>
                <w:rFonts w:ascii="宋体" w:hAnsi="宋体" w:cs="宋体"/>
                <w:kern w:val="0"/>
                <w:sz w:val="20"/>
                <w:szCs w:val="20"/>
              </w:rPr>
            </w:pPr>
            <w:r>
              <w:rPr>
                <w:rFonts w:hint="eastAsia" w:ascii="宋体" w:hAnsi="宋体" w:cs="宋体"/>
                <w:kern w:val="0"/>
                <w:sz w:val="20"/>
                <w:szCs w:val="20"/>
              </w:rPr>
              <w:t>　</w:t>
            </w:r>
          </w:p>
        </w:tc>
      </w:tr>
      <w:tr w14:paraId="0EBAAF87">
        <w:tblPrEx>
          <w:tblCellMar>
            <w:top w:w="0" w:type="dxa"/>
            <w:left w:w="108" w:type="dxa"/>
            <w:bottom w:w="0" w:type="dxa"/>
            <w:right w:w="108" w:type="dxa"/>
          </w:tblCellMar>
        </w:tblPrEx>
        <w:trPr>
          <w:trHeight w:val="372" w:hRule="atLeast"/>
        </w:trPr>
        <w:tc>
          <w:tcPr>
            <w:tcW w:w="6111"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1E9A09B3">
            <w:pPr>
              <w:jc w:val="center"/>
              <w:rPr>
                <w:rFonts w:ascii="宋体" w:hAnsi="宋体" w:cs="宋体"/>
                <w:kern w:val="0"/>
                <w:sz w:val="20"/>
                <w:szCs w:val="20"/>
              </w:rPr>
            </w:pPr>
            <w:r>
              <w:rPr>
                <w:rFonts w:hint="eastAsia" w:ascii="宋体" w:hAnsi="宋体" w:cs="宋体"/>
                <w:kern w:val="0"/>
                <w:sz w:val="20"/>
                <w:szCs w:val="20"/>
              </w:rPr>
              <w:t>合  计</w:t>
            </w:r>
          </w:p>
        </w:tc>
        <w:tc>
          <w:tcPr>
            <w:tcW w:w="2693" w:type="dxa"/>
            <w:tcBorders>
              <w:top w:val="nil"/>
              <w:left w:val="nil"/>
              <w:bottom w:val="single" w:color="auto" w:sz="4" w:space="0"/>
              <w:right w:val="single" w:color="auto" w:sz="4" w:space="0"/>
            </w:tcBorders>
            <w:shd w:val="clear" w:color="auto" w:fill="auto"/>
            <w:noWrap/>
            <w:vAlign w:val="center"/>
          </w:tcPr>
          <w:p w14:paraId="2B965081">
            <w:pPr>
              <w:jc w:val="left"/>
              <w:rPr>
                <w:rFonts w:ascii="宋体" w:hAnsi="宋体" w:cs="宋体"/>
                <w:kern w:val="0"/>
                <w:sz w:val="20"/>
                <w:szCs w:val="20"/>
              </w:rPr>
            </w:pPr>
            <w:r>
              <w:rPr>
                <w:rFonts w:hint="eastAsia" w:ascii="宋体" w:hAnsi="宋体" w:cs="宋体"/>
                <w:kern w:val="0"/>
                <w:sz w:val="20"/>
                <w:szCs w:val="20"/>
              </w:rPr>
              <w:t>　</w:t>
            </w:r>
          </w:p>
        </w:tc>
      </w:tr>
    </w:tbl>
    <w:p w14:paraId="42CF4803">
      <w:pPr>
        <w:pStyle w:val="4"/>
        <w:keepNext w:val="0"/>
        <w:keepLines w:val="0"/>
      </w:pPr>
      <w:r>
        <w:rPr>
          <w:rFonts w:hint="eastAsia"/>
        </w:rPr>
        <w:t>（九）</w:t>
      </w:r>
      <w:r>
        <w:rPr>
          <w:rFonts w:hint="eastAsia"/>
          <w:kern w:val="0"/>
        </w:rPr>
        <w:t>材料设备暂估价计价表</w:t>
      </w:r>
    </w:p>
    <w:tbl>
      <w:tblPr>
        <w:tblStyle w:val="55"/>
        <w:tblW w:w="8804" w:type="dxa"/>
        <w:tblInd w:w="93" w:type="dxa"/>
        <w:tblLayout w:type="fixed"/>
        <w:tblCellMar>
          <w:top w:w="0" w:type="dxa"/>
          <w:left w:w="108" w:type="dxa"/>
          <w:bottom w:w="0" w:type="dxa"/>
          <w:right w:w="108" w:type="dxa"/>
        </w:tblCellMar>
      </w:tblPr>
      <w:tblGrid>
        <w:gridCol w:w="430"/>
        <w:gridCol w:w="2704"/>
        <w:gridCol w:w="850"/>
        <w:gridCol w:w="851"/>
        <w:gridCol w:w="850"/>
        <w:gridCol w:w="851"/>
        <w:gridCol w:w="850"/>
        <w:gridCol w:w="1418"/>
      </w:tblGrid>
      <w:tr w14:paraId="2A770F4C">
        <w:tblPrEx>
          <w:tblCellMar>
            <w:top w:w="0" w:type="dxa"/>
            <w:left w:w="108" w:type="dxa"/>
            <w:bottom w:w="0" w:type="dxa"/>
            <w:right w:w="108" w:type="dxa"/>
          </w:tblCellMar>
        </w:tblPrEx>
        <w:trPr>
          <w:trHeight w:val="668" w:hRule="atLeast"/>
        </w:trPr>
        <w:tc>
          <w:tcPr>
            <w:tcW w:w="3134" w:type="dxa"/>
            <w:gridSpan w:val="2"/>
            <w:tcBorders>
              <w:top w:val="nil"/>
              <w:left w:val="nil"/>
              <w:bottom w:val="nil"/>
              <w:right w:val="nil"/>
            </w:tcBorders>
            <w:shd w:val="clear" w:color="auto" w:fill="auto"/>
            <w:vAlign w:val="bottom"/>
          </w:tcPr>
          <w:p w14:paraId="422BDB3F">
            <w:pPr>
              <w:jc w:val="left"/>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3402" w:type="dxa"/>
            <w:gridSpan w:val="4"/>
            <w:tcBorders>
              <w:top w:val="nil"/>
              <w:left w:val="nil"/>
              <w:bottom w:val="nil"/>
              <w:right w:val="nil"/>
            </w:tcBorders>
            <w:shd w:val="clear" w:color="auto" w:fill="auto"/>
            <w:vAlign w:val="bottom"/>
          </w:tcPr>
          <w:p w14:paraId="1390B905">
            <w:pPr>
              <w:jc w:val="left"/>
              <w:rPr>
                <w:rFonts w:ascii="宋体" w:hAnsi="宋体" w:cs="宋体"/>
                <w:kern w:val="0"/>
                <w:sz w:val="20"/>
                <w:szCs w:val="20"/>
              </w:rPr>
            </w:pPr>
            <w:r>
              <w:rPr>
                <w:rFonts w:hint="eastAsia" w:ascii="宋体" w:hAnsi="宋体" w:cs="宋体"/>
                <w:kern w:val="0"/>
                <w:sz w:val="20"/>
                <w:szCs w:val="20"/>
              </w:rPr>
              <w:t xml:space="preserve"> </w:t>
            </w:r>
          </w:p>
        </w:tc>
        <w:tc>
          <w:tcPr>
            <w:tcW w:w="2268" w:type="dxa"/>
            <w:gridSpan w:val="2"/>
            <w:tcBorders>
              <w:top w:val="nil"/>
              <w:left w:val="nil"/>
              <w:bottom w:val="nil"/>
              <w:right w:val="nil"/>
            </w:tcBorders>
            <w:shd w:val="clear" w:color="auto" w:fill="auto"/>
            <w:vAlign w:val="bottom"/>
          </w:tcPr>
          <w:p w14:paraId="42F2D145">
            <w:pPr>
              <w:jc w:val="right"/>
              <w:rPr>
                <w:rFonts w:ascii="宋体" w:hAnsi="宋体" w:cs="宋体"/>
                <w:kern w:val="0"/>
                <w:sz w:val="20"/>
                <w:szCs w:val="20"/>
              </w:rPr>
            </w:pPr>
            <w:r>
              <w:rPr>
                <w:rFonts w:hint="eastAsia" w:ascii="宋体" w:hAnsi="宋体" w:cs="宋体"/>
                <w:kern w:val="0"/>
                <w:sz w:val="20"/>
                <w:szCs w:val="20"/>
              </w:rPr>
              <w:t>第1页 共1页</w:t>
            </w:r>
          </w:p>
        </w:tc>
      </w:tr>
      <w:tr w14:paraId="5BC20767">
        <w:tblPrEx>
          <w:tblCellMar>
            <w:top w:w="0" w:type="dxa"/>
            <w:left w:w="108" w:type="dxa"/>
            <w:bottom w:w="0" w:type="dxa"/>
            <w:right w:w="108" w:type="dxa"/>
          </w:tblCellMar>
        </w:tblPrEx>
        <w:trPr>
          <w:trHeight w:val="668" w:hRule="atLeast"/>
        </w:trPr>
        <w:tc>
          <w:tcPr>
            <w:tcW w:w="430" w:type="dxa"/>
            <w:tcBorders>
              <w:top w:val="single" w:color="auto" w:sz="4" w:space="0"/>
              <w:left w:val="single" w:color="auto" w:sz="4" w:space="0"/>
              <w:bottom w:val="single" w:color="000000" w:sz="4" w:space="0"/>
              <w:right w:val="single" w:color="000000" w:sz="4" w:space="0"/>
            </w:tcBorders>
            <w:shd w:val="clear" w:color="000000" w:fill="FFFFFF"/>
            <w:noWrap/>
            <w:vAlign w:val="center"/>
          </w:tcPr>
          <w:p w14:paraId="2D282B45">
            <w:pPr>
              <w:jc w:val="center"/>
              <w:rPr>
                <w:rFonts w:ascii="宋体" w:hAnsi="宋体" w:cs="宋体"/>
                <w:kern w:val="0"/>
                <w:sz w:val="20"/>
                <w:szCs w:val="20"/>
              </w:rPr>
            </w:pPr>
            <w:r>
              <w:rPr>
                <w:rFonts w:hint="eastAsia" w:ascii="宋体" w:hAnsi="宋体" w:cs="宋体"/>
                <w:kern w:val="0"/>
                <w:sz w:val="20"/>
                <w:szCs w:val="20"/>
              </w:rPr>
              <w:t>序号</w:t>
            </w:r>
          </w:p>
        </w:tc>
        <w:tc>
          <w:tcPr>
            <w:tcW w:w="2704" w:type="dxa"/>
            <w:tcBorders>
              <w:top w:val="single" w:color="auto" w:sz="4" w:space="0"/>
              <w:left w:val="nil"/>
              <w:bottom w:val="single" w:color="000000" w:sz="4" w:space="0"/>
              <w:right w:val="single" w:color="000000" w:sz="4" w:space="0"/>
            </w:tcBorders>
            <w:shd w:val="clear" w:color="000000" w:fill="FFFFFF"/>
            <w:vAlign w:val="center"/>
          </w:tcPr>
          <w:p w14:paraId="2AC5D22A">
            <w:pPr>
              <w:jc w:val="center"/>
              <w:rPr>
                <w:rFonts w:ascii="宋体" w:hAnsi="宋体" w:cs="宋体"/>
                <w:kern w:val="0"/>
                <w:sz w:val="20"/>
                <w:szCs w:val="20"/>
              </w:rPr>
            </w:pPr>
            <w:r>
              <w:rPr>
                <w:rFonts w:hint="eastAsia" w:ascii="宋体" w:hAnsi="宋体" w:cs="宋体"/>
                <w:kern w:val="0"/>
                <w:sz w:val="20"/>
                <w:szCs w:val="20"/>
              </w:rPr>
              <w:t>材料名称、规格、型号</w:t>
            </w:r>
          </w:p>
        </w:tc>
        <w:tc>
          <w:tcPr>
            <w:tcW w:w="850" w:type="dxa"/>
            <w:tcBorders>
              <w:top w:val="single" w:color="auto" w:sz="4" w:space="0"/>
              <w:left w:val="nil"/>
              <w:bottom w:val="single" w:color="000000" w:sz="4" w:space="0"/>
              <w:right w:val="single" w:color="000000" w:sz="4" w:space="0"/>
            </w:tcBorders>
            <w:shd w:val="clear" w:color="000000" w:fill="FFFFFF"/>
            <w:vAlign w:val="center"/>
          </w:tcPr>
          <w:p w14:paraId="25F8B647">
            <w:pPr>
              <w:jc w:val="center"/>
              <w:rPr>
                <w:rFonts w:ascii="宋体" w:hAnsi="宋体" w:cs="宋体"/>
                <w:kern w:val="0"/>
                <w:sz w:val="20"/>
                <w:szCs w:val="20"/>
              </w:rPr>
            </w:pPr>
            <w:r>
              <w:rPr>
                <w:rFonts w:hint="eastAsia" w:ascii="宋体" w:hAnsi="宋体" w:cs="宋体"/>
                <w:kern w:val="0"/>
                <w:sz w:val="20"/>
                <w:szCs w:val="20"/>
              </w:rPr>
              <w:t>计量</w:t>
            </w:r>
            <w:r>
              <w:rPr>
                <w:rFonts w:hint="eastAsia" w:ascii="宋体" w:hAnsi="宋体" w:cs="宋体"/>
                <w:kern w:val="0"/>
                <w:sz w:val="20"/>
                <w:szCs w:val="20"/>
              </w:rPr>
              <w:br w:type="textWrapping"/>
            </w:r>
            <w:r>
              <w:rPr>
                <w:rFonts w:hint="eastAsia" w:ascii="宋体" w:hAnsi="宋体" w:cs="宋体"/>
                <w:kern w:val="0"/>
                <w:sz w:val="20"/>
                <w:szCs w:val="20"/>
              </w:rPr>
              <w:t>单位</w:t>
            </w:r>
          </w:p>
        </w:tc>
        <w:tc>
          <w:tcPr>
            <w:tcW w:w="851" w:type="dxa"/>
            <w:tcBorders>
              <w:top w:val="single" w:color="auto" w:sz="4" w:space="0"/>
              <w:left w:val="nil"/>
              <w:bottom w:val="single" w:color="000000" w:sz="4" w:space="0"/>
              <w:right w:val="single" w:color="000000" w:sz="4" w:space="0"/>
            </w:tcBorders>
            <w:shd w:val="clear" w:color="000000" w:fill="FFFFFF"/>
            <w:vAlign w:val="center"/>
          </w:tcPr>
          <w:p w14:paraId="3D8AF158">
            <w:pPr>
              <w:jc w:val="center"/>
              <w:rPr>
                <w:rFonts w:ascii="宋体" w:hAnsi="宋体" w:cs="宋体"/>
                <w:kern w:val="0"/>
                <w:sz w:val="20"/>
                <w:szCs w:val="20"/>
              </w:rPr>
            </w:pPr>
            <w:r>
              <w:rPr>
                <w:rFonts w:hint="eastAsia" w:ascii="宋体" w:hAnsi="宋体" w:cs="宋体"/>
                <w:kern w:val="0"/>
                <w:sz w:val="20"/>
                <w:szCs w:val="20"/>
              </w:rPr>
              <w:t>数量</w:t>
            </w:r>
          </w:p>
        </w:tc>
        <w:tc>
          <w:tcPr>
            <w:tcW w:w="850" w:type="dxa"/>
            <w:tcBorders>
              <w:top w:val="single" w:color="auto" w:sz="4" w:space="0"/>
              <w:left w:val="nil"/>
              <w:bottom w:val="single" w:color="000000" w:sz="4" w:space="0"/>
              <w:right w:val="single" w:color="000000" w:sz="4" w:space="0"/>
            </w:tcBorders>
            <w:shd w:val="clear" w:color="000000" w:fill="FFFFFF"/>
            <w:vAlign w:val="center"/>
          </w:tcPr>
          <w:p w14:paraId="23E70108">
            <w:pPr>
              <w:jc w:val="center"/>
              <w:rPr>
                <w:rFonts w:ascii="宋体" w:hAnsi="宋体" w:cs="宋体"/>
                <w:kern w:val="0"/>
                <w:sz w:val="20"/>
                <w:szCs w:val="20"/>
              </w:rPr>
            </w:pPr>
            <w:r>
              <w:rPr>
                <w:rFonts w:hint="eastAsia" w:ascii="宋体" w:hAnsi="宋体" w:cs="宋体"/>
                <w:kern w:val="0"/>
                <w:sz w:val="20"/>
                <w:szCs w:val="20"/>
              </w:rPr>
              <w:t>暂估单</w:t>
            </w:r>
            <w:r>
              <w:rPr>
                <w:rFonts w:hint="eastAsia" w:ascii="宋体" w:hAnsi="宋体" w:cs="宋体"/>
                <w:kern w:val="0"/>
                <w:sz w:val="20"/>
                <w:szCs w:val="20"/>
              </w:rPr>
              <w:br w:type="textWrapping"/>
            </w:r>
            <w:r>
              <w:rPr>
                <w:rFonts w:hint="eastAsia" w:ascii="宋体" w:hAnsi="宋体" w:cs="宋体"/>
                <w:kern w:val="0"/>
                <w:sz w:val="20"/>
                <w:szCs w:val="20"/>
              </w:rPr>
              <w:t>价(元)</w:t>
            </w:r>
          </w:p>
        </w:tc>
        <w:tc>
          <w:tcPr>
            <w:tcW w:w="851" w:type="dxa"/>
            <w:tcBorders>
              <w:top w:val="single" w:color="auto" w:sz="4" w:space="0"/>
              <w:left w:val="nil"/>
              <w:bottom w:val="single" w:color="000000" w:sz="4" w:space="0"/>
              <w:right w:val="single" w:color="000000" w:sz="4" w:space="0"/>
            </w:tcBorders>
            <w:shd w:val="clear" w:color="000000" w:fill="FFFFFF"/>
            <w:vAlign w:val="center"/>
          </w:tcPr>
          <w:p w14:paraId="6318F489">
            <w:pPr>
              <w:jc w:val="center"/>
              <w:rPr>
                <w:rFonts w:ascii="宋体" w:hAnsi="宋体" w:cs="宋体"/>
                <w:kern w:val="0"/>
                <w:sz w:val="20"/>
                <w:szCs w:val="20"/>
              </w:rPr>
            </w:pPr>
            <w:r>
              <w:rPr>
                <w:rFonts w:hint="eastAsia" w:ascii="宋体" w:hAnsi="宋体" w:cs="宋体"/>
                <w:kern w:val="0"/>
                <w:sz w:val="20"/>
                <w:szCs w:val="20"/>
              </w:rPr>
              <w:t>结算单</w:t>
            </w:r>
            <w:r>
              <w:rPr>
                <w:rFonts w:hint="eastAsia" w:ascii="宋体" w:hAnsi="宋体" w:cs="宋体"/>
                <w:kern w:val="0"/>
                <w:sz w:val="20"/>
                <w:szCs w:val="20"/>
              </w:rPr>
              <w:br w:type="textWrapping"/>
            </w:r>
            <w:r>
              <w:rPr>
                <w:rFonts w:hint="eastAsia" w:ascii="宋体" w:hAnsi="宋体" w:cs="宋体"/>
                <w:kern w:val="0"/>
                <w:sz w:val="20"/>
                <w:szCs w:val="20"/>
              </w:rPr>
              <w:t>价(元)</w:t>
            </w:r>
          </w:p>
        </w:tc>
        <w:tc>
          <w:tcPr>
            <w:tcW w:w="850" w:type="dxa"/>
            <w:tcBorders>
              <w:top w:val="single" w:color="auto" w:sz="4" w:space="0"/>
              <w:left w:val="nil"/>
              <w:bottom w:val="single" w:color="000000" w:sz="4" w:space="0"/>
              <w:right w:val="single" w:color="000000" w:sz="4" w:space="0"/>
            </w:tcBorders>
            <w:shd w:val="clear" w:color="000000" w:fill="FFFFFF"/>
            <w:vAlign w:val="center"/>
          </w:tcPr>
          <w:p w14:paraId="5CDDF23D">
            <w:pPr>
              <w:jc w:val="center"/>
              <w:rPr>
                <w:rFonts w:ascii="宋体" w:hAnsi="宋体" w:cs="宋体"/>
                <w:kern w:val="0"/>
                <w:sz w:val="20"/>
                <w:szCs w:val="20"/>
              </w:rPr>
            </w:pPr>
            <w:r>
              <w:rPr>
                <w:rFonts w:hint="eastAsia" w:ascii="宋体" w:hAnsi="宋体" w:cs="宋体"/>
                <w:kern w:val="0"/>
                <w:sz w:val="20"/>
                <w:szCs w:val="20"/>
              </w:rPr>
              <w:t>价差(元)</w:t>
            </w:r>
          </w:p>
        </w:tc>
        <w:tc>
          <w:tcPr>
            <w:tcW w:w="1418" w:type="dxa"/>
            <w:tcBorders>
              <w:top w:val="single" w:color="auto" w:sz="4" w:space="0"/>
              <w:left w:val="nil"/>
              <w:bottom w:val="single" w:color="000000" w:sz="4" w:space="0"/>
              <w:right w:val="single" w:color="auto" w:sz="4" w:space="0"/>
            </w:tcBorders>
            <w:shd w:val="clear" w:color="000000" w:fill="FFFFFF"/>
            <w:noWrap/>
            <w:vAlign w:val="center"/>
          </w:tcPr>
          <w:p w14:paraId="59EEE1C2">
            <w:pPr>
              <w:jc w:val="center"/>
              <w:rPr>
                <w:rFonts w:ascii="宋体" w:hAnsi="宋体" w:cs="宋体"/>
                <w:kern w:val="0"/>
                <w:sz w:val="20"/>
                <w:szCs w:val="20"/>
              </w:rPr>
            </w:pPr>
            <w:r>
              <w:rPr>
                <w:rFonts w:hint="eastAsia" w:ascii="宋体" w:hAnsi="宋体" w:cs="宋体"/>
                <w:kern w:val="0"/>
                <w:sz w:val="20"/>
                <w:szCs w:val="20"/>
              </w:rPr>
              <w:t>合价(元)</w:t>
            </w:r>
          </w:p>
        </w:tc>
      </w:tr>
      <w:tr w14:paraId="20A2A5FA">
        <w:tblPrEx>
          <w:tblCellMar>
            <w:top w:w="0" w:type="dxa"/>
            <w:left w:w="108" w:type="dxa"/>
            <w:bottom w:w="0" w:type="dxa"/>
            <w:right w:w="108" w:type="dxa"/>
          </w:tblCellMar>
        </w:tblPrEx>
        <w:trPr>
          <w:trHeight w:val="342"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FAD83">
            <w:pPr>
              <w:jc w:val="left"/>
              <w:rPr>
                <w:rFonts w:ascii="宋体" w:hAnsi="宋体" w:cs="宋体"/>
                <w:kern w:val="0"/>
                <w:sz w:val="20"/>
                <w:szCs w:val="20"/>
              </w:rPr>
            </w:pPr>
          </w:p>
        </w:tc>
        <w:tc>
          <w:tcPr>
            <w:tcW w:w="2704" w:type="dxa"/>
            <w:tcBorders>
              <w:top w:val="single" w:color="auto" w:sz="4" w:space="0"/>
              <w:left w:val="nil"/>
              <w:bottom w:val="single" w:color="auto" w:sz="4" w:space="0"/>
              <w:right w:val="single" w:color="auto" w:sz="4" w:space="0"/>
            </w:tcBorders>
            <w:shd w:val="clear" w:color="auto" w:fill="auto"/>
            <w:noWrap/>
            <w:vAlign w:val="center"/>
          </w:tcPr>
          <w:p w14:paraId="44396228">
            <w:pPr>
              <w:jc w:val="left"/>
              <w:rPr>
                <w:rFonts w:ascii="宋体" w:hAnsi="宋体" w:cs="宋体"/>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72F8477D">
            <w:pPr>
              <w:jc w:val="left"/>
              <w:rPr>
                <w:rFonts w:ascii="宋体" w:hAnsi="宋体" w:cs="宋体"/>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77B54C8F">
            <w:pPr>
              <w:jc w:val="left"/>
              <w:rPr>
                <w:rFonts w:ascii="宋体" w:hAnsi="宋体" w:cs="宋体"/>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0E413EB4">
            <w:pPr>
              <w:jc w:val="left"/>
              <w:rPr>
                <w:rFonts w:ascii="宋体" w:hAnsi="宋体" w:cs="宋体"/>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61A60A56">
            <w:pPr>
              <w:jc w:val="left"/>
              <w:rPr>
                <w:rFonts w:ascii="宋体" w:hAnsi="宋体" w:cs="宋体"/>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39F850A3">
            <w:pPr>
              <w:jc w:val="left"/>
              <w:rPr>
                <w:rFonts w:ascii="宋体" w:hAnsi="宋体" w:cs="宋体"/>
                <w:kern w:val="0"/>
                <w:sz w:val="20"/>
                <w:szCs w:val="20"/>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4D28C067">
            <w:pPr>
              <w:jc w:val="left"/>
              <w:rPr>
                <w:rFonts w:ascii="宋体" w:hAnsi="宋体" w:cs="宋体"/>
                <w:kern w:val="0"/>
                <w:sz w:val="20"/>
                <w:szCs w:val="20"/>
              </w:rPr>
            </w:pPr>
          </w:p>
        </w:tc>
      </w:tr>
      <w:tr w14:paraId="5FB50FEC">
        <w:tblPrEx>
          <w:tblCellMar>
            <w:top w:w="0" w:type="dxa"/>
            <w:left w:w="108" w:type="dxa"/>
            <w:bottom w:w="0" w:type="dxa"/>
            <w:right w:w="108" w:type="dxa"/>
          </w:tblCellMar>
        </w:tblPrEx>
        <w:trPr>
          <w:trHeight w:val="342"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53E4F5C3">
            <w:pPr>
              <w:jc w:val="left"/>
              <w:rPr>
                <w:rFonts w:ascii="宋体" w:hAnsi="宋体" w:cs="宋体"/>
                <w:kern w:val="0"/>
                <w:sz w:val="20"/>
                <w:szCs w:val="20"/>
              </w:rPr>
            </w:pPr>
          </w:p>
        </w:tc>
        <w:tc>
          <w:tcPr>
            <w:tcW w:w="2704" w:type="dxa"/>
            <w:tcBorders>
              <w:top w:val="nil"/>
              <w:left w:val="nil"/>
              <w:bottom w:val="single" w:color="auto" w:sz="4" w:space="0"/>
              <w:right w:val="single" w:color="auto" w:sz="4" w:space="0"/>
            </w:tcBorders>
            <w:shd w:val="clear" w:color="auto" w:fill="auto"/>
            <w:noWrap/>
            <w:vAlign w:val="center"/>
          </w:tcPr>
          <w:p w14:paraId="2ACCE401">
            <w:pPr>
              <w:jc w:val="left"/>
              <w:rPr>
                <w:rFonts w:ascii="宋体" w:hAnsi="宋体" w:cs="宋体"/>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14:paraId="21E2A369">
            <w:pPr>
              <w:jc w:val="left"/>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17733CB3">
            <w:pPr>
              <w:jc w:val="left"/>
              <w:rPr>
                <w:rFonts w:ascii="宋体" w:hAnsi="宋体" w:cs="宋体"/>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14:paraId="379C0028">
            <w:pPr>
              <w:jc w:val="left"/>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4C1699F0">
            <w:pPr>
              <w:jc w:val="left"/>
              <w:rPr>
                <w:rFonts w:ascii="宋体" w:hAnsi="宋体" w:cs="宋体"/>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14:paraId="73EC31D2">
            <w:pPr>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shd w:val="clear" w:color="auto" w:fill="auto"/>
            <w:noWrap/>
            <w:vAlign w:val="center"/>
          </w:tcPr>
          <w:p w14:paraId="009F801E">
            <w:pPr>
              <w:jc w:val="left"/>
              <w:rPr>
                <w:rFonts w:ascii="宋体" w:hAnsi="宋体" w:cs="宋体"/>
                <w:kern w:val="0"/>
                <w:sz w:val="20"/>
                <w:szCs w:val="20"/>
              </w:rPr>
            </w:pPr>
          </w:p>
        </w:tc>
      </w:tr>
      <w:tr w14:paraId="41F7FB41">
        <w:tblPrEx>
          <w:tblCellMar>
            <w:top w:w="0" w:type="dxa"/>
            <w:left w:w="108" w:type="dxa"/>
            <w:bottom w:w="0" w:type="dxa"/>
            <w:right w:w="108" w:type="dxa"/>
          </w:tblCellMar>
        </w:tblPrEx>
        <w:trPr>
          <w:trHeight w:val="342"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5FE798EA">
            <w:pPr>
              <w:jc w:val="left"/>
              <w:rPr>
                <w:rFonts w:ascii="宋体" w:hAnsi="宋体" w:cs="宋体"/>
                <w:kern w:val="0"/>
                <w:sz w:val="20"/>
                <w:szCs w:val="20"/>
              </w:rPr>
            </w:pPr>
          </w:p>
        </w:tc>
        <w:tc>
          <w:tcPr>
            <w:tcW w:w="2704" w:type="dxa"/>
            <w:tcBorders>
              <w:top w:val="nil"/>
              <w:left w:val="nil"/>
              <w:bottom w:val="single" w:color="auto" w:sz="4" w:space="0"/>
              <w:right w:val="single" w:color="auto" w:sz="4" w:space="0"/>
            </w:tcBorders>
            <w:shd w:val="clear" w:color="auto" w:fill="auto"/>
            <w:noWrap/>
            <w:vAlign w:val="center"/>
          </w:tcPr>
          <w:p w14:paraId="1DB38386">
            <w:pPr>
              <w:jc w:val="left"/>
              <w:rPr>
                <w:rFonts w:ascii="宋体" w:hAnsi="宋体" w:cs="宋体"/>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14:paraId="58EF9F9D">
            <w:pPr>
              <w:jc w:val="left"/>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56C1FA20">
            <w:pPr>
              <w:jc w:val="left"/>
              <w:rPr>
                <w:rFonts w:ascii="宋体" w:hAnsi="宋体" w:cs="宋体"/>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14:paraId="1525C361">
            <w:pPr>
              <w:jc w:val="left"/>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1018059D">
            <w:pPr>
              <w:jc w:val="left"/>
              <w:rPr>
                <w:rFonts w:ascii="宋体" w:hAnsi="宋体" w:cs="宋体"/>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14:paraId="52798EDF">
            <w:pPr>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shd w:val="clear" w:color="auto" w:fill="auto"/>
            <w:noWrap/>
            <w:vAlign w:val="center"/>
          </w:tcPr>
          <w:p w14:paraId="1E670C72">
            <w:pPr>
              <w:jc w:val="left"/>
              <w:rPr>
                <w:rFonts w:ascii="宋体" w:hAnsi="宋体" w:cs="宋体"/>
                <w:kern w:val="0"/>
                <w:sz w:val="20"/>
                <w:szCs w:val="20"/>
              </w:rPr>
            </w:pPr>
          </w:p>
        </w:tc>
      </w:tr>
      <w:tr w14:paraId="7E929736">
        <w:tblPrEx>
          <w:tblCellMar>
            <w:top w:w="0" w:type="dxa"/>
            <w:left w:w="108" w:type="dxa"/>
            <w:bottom w:w="0" w:type="dxa"/>
            <w:right w:w="108" w:type="dxa"/>
          </w:tblCellMar>
        </w:tblPrEx>
        <w:trPr>
          <w:trHeight w:val="342" w:hRule="atLeast"/>
        </w:trPr>
        <w:tc>
          <w:tcPr>
            <w:tcW w:w="7386"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0941CA78">
            <w:pPr>
              <w:jc w:val="center"/>
              <w:rPr>
                <w:rFonts w:ascii="宋体" w:hAnsi="宋体" w:cs="宋体"/>
                <w:kern w:val="0"/>
                <w:sz w:val="20"/>
                <w:szCs w:val="20"/>
              </w:rPr>
            </w:pPr>
            <w:r>
              <w:rPr>
                <w:rFonts w:hint="eastAsia" w:ascii="宋体" w:hAnsi="宋体" w:cs="宋体"/>
                <w:kern w:val="0"/>
                <w:sz w:val="20"/>
                <w:szCs w:val="20"/>
              </w:rPr>
              <w:t>本页小计</w:t>
            </w:r>
          </w:p>
        </w:tc>
        <w:tc>
          <w:tcPr>
            <w:tcW w:w="1418" w:type="dxa"/>
            <w:tcBorders>
              <w:top w:val="nil"/>
              <w:left w:val="nil"/>
              <w:bottom w:val="single" w:color="auto" w:sz="4" w:space="0"/>
              <w:right w:val="single" w:color="auto" w:sz="4" w:space="0"/>
            </w:tcBorders>
            <w:shd w:val="clear" w:color="auto" w:fill="auto"/>
            <w:noWrap/>
            <w:vAlign w:val="center"/>
          </w:tcPr>
          <w:p w14:paraId="341B73CF">
            <w:pPr>
              <w:jc w:val="right"/>
              <w:rPr>
                <w:rFonts w:ascii="宋体" w:hAnsi="宋体" w:cs="宋体"/>
                <w:kern w:val="0"/>
                <w:sz w:val="20"/>
                <w:szCs w:val="20"/>
              </w:rPr>
            </w:pPr>
            <w:r>
              <w:rPr>
                <w:rFonts w:hint="eastAsia" w:ascii="宋体" w:hAnsi="宋体" w:cs="宋体"/>
                <w:kern w:val="0"/>
                <w:sz w:val="20"/>
                <w:szCs w:val="20"/>
              </w:rPr>
              <w:t>　</w:t>
            </w:r>
          </w:p>
        </w:tc>
      </w:tr>
      <w:tr w14:paraId="4F4D96AC">
        <w:tblPrEx>
          <w:tblCellMar>
            <w:top w:w="0" w:type="dxa"/>
            <w:left w:w="108" w:type="dxa"/>
            <w:bottom w:w="0" w:type="dxa"/>
            <w:right w:w="108" w:type="dxa"/>
          </w:tblCellMar>
        </w:tblPrEx>
        <w:trPr>
          <w:trHeight w:val="342" w:hRule="atLeast"/>
        </w:trPr>
        <w:tc>
          <w:tcPr>
            <w:tcW w:w="7386"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14:paraId="59F64687">
            <w:pPr>
              <w:jc w:val="center"/>
              <w:rPr>
                <w:rFonts w:ascii="宋体" w:hAnsi="宋体" w:cs="宋体"/>
                <w:kern w:val="0"/>
                <w:sz w:val="18"/>
                <w:szCs w:val="18"/>
              </w:rPr>
            </w:pPr>
            <w:r>
              <w:rPr>
                <w:rFonts w:hint="eastAsia" w:ascii="宋体" w:hAnsi="宋体" w:cs="宋体"/>
                <w:kern w:val="0"/>
                <w:sz w:val="18"/>
                <w:szCs w:val="18"/>
              </w:rPr>
              <w:t xml:space="preserve">   合  计</w:t>
            </w:r>
          </w:p>
        </w:tc>
        <w:tc>
          <w:tcPr>
            <w:tcW w:w="1418" w:type="dxa"/>
            <w:tcBorders>
              <w:top w:val="nil"/>
              <w:left w:val="nil"/>
              <w:bottom w:val="single" w:color="auto" w:sz="4" w:space="0"/>
              <w:right w:val="single" w:color="auto" w:sz="4" w:space="0"/>
            </w:tcBorders>
            <w:shd w:val="clear" w:color="auto" w:fill="auto"/>
            <w:noWrap/>
            <w:vAlign w:val="center"/>
          </w:tcPr>
          <w:p w14:paraId="3004583A">
            <w:pPr>
              <w:jc w:val="left"/>
              <w:rPr>
                <w:rFonts w:ascii="宋体" w:hAnsi="宋体" w:cs="宋体"/>
                <w:kern w:val="0"/>
                <w:sz w:val="20"/>
                <w:szCs w:val="20"/>
              </w:rPr>
            </w:pPr>
            <w:r>
              <w:rPr>
                <w:rFonts w:hint="eastAsia" w:ascii="宋体" w:hAnsi="宋体" w:cs="宋体"/>
                <w:kern w:val="0"/>
                <w:sz w:val="20"/>
                <w:szCs w:val="20"/>
              </w:rPr>
              <w:t>　</w:t>
            </w:r>
          </w:p>
        </w:tc>
      </w:tr>
    </w:tbl>
    <w:p w14:paraId="40B3F551">
      <w:pPr>
        <w:pStyle w:val="4"/>
        <w:keepNext w:val="0"/>
        <w:keepLines w:val="0"/>
      </w:pPr>
      <w:r>
        <w:rPr>
          <w:rFonts w:hint="eastAsia"/>
        </w:rPr>
        <w:t>（十）</w:t>
      </w:r>
      <w:r>
        <w:rPr>
          <w:rFonts w:hint="eastAsia"/>
          <w:kern w:val="0"/>
        </w:rPr>
        <w:t>规费、应纳税费项目清单与计价表</w:t>
      </w:r>
    </w:p>
    <w:tbl>
      <w:tblPr>
        <w:tblStyle w:val="55"/>
        <w:tblW w:w="8804" w:type="dxa"/>
        <w:tblInd w:w="93" w:type="dxa"/>
        <w:tblLayout w:type="fixed"/>
        <w:tblCellMar>
          <w:top w:w="0" w:type="dxa"/>
          <w:left w:w="108" w:type="dxa"/>
          <w:bottom w:w="0" w:type="dxa"/>
          <w:right w:w="108" w:type="dxa"/>
        </w:tblCellMar>
      </w:tblPr>
      <w:tblGrid>
        <w:gridCol w:w="486"/>
        <w:gridCol w:w="2648"/>
        <w:gridCol w:w="2551"/>
        <w:gridCol w:w="1276"/>
        <w:gridCol w:w="1843"/>
      </w:tblGrid>
      <w:tr w14:paraId="6A318891">
        <w:tblPrEx>
          <w:tblCellMar>
            <w:top w:w="0" w:type="dxa"/>
            <w:left w:w="108" w:type="dxa"/>
            <w:bottom w:w="0" w:type="dxa"/>
            <w:right w:w="108" w:type="dxa"/>
          </w:tblCellMar>
        </w:tblPrEx>
        <w:trPr>
          <w:trHeight w:val="668" w:hRule="atLeast"/>
        </w:trPr>
        <w:tc>
          <w:tcPr>
            <w:tcW w:w="3134" w:type="dxa"/>
            <w:gridSpan w:val="2"/>
            <w:tcBorders>
              <w:top w:val="nil"/>
              <w:left w:val="nil"/>
              <w:bottom w:val="nil"/>
              <w:right w:val="nil"/>
            </w:tcBorders>
            <w:shd w:val="clear" w:color="auto" w:fill="auto"/>
            <w:vAlign w:val="bottom"/>
          </w:tcPr>
          <w:p w14:paraId="053DDD79">
            <w:pPr>
              <w:jc w:val="left"/>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2551" w:type="dxa"/>
            <w:tcBorders>
              <w:top w:val="nil"/>
              <w:left w:val="nil"/>
              <w:bottom w:val="nil"/>
              <w:right w:val="nil"/>
            </w:tcBorders>
            <w:shd w:val="clear" w:color="auto" w:fill="auto"/>
            <w:vAlign w:val="bottom"/>
          </w:tcPr>
          <w:p w14:paraId="1C50D5C5">
            <w:pPr>
              <w:jc w:val="left"/>
              <w:rPr>
                <w:rFonts w:ascii="宋体" w:hAnsi="宋体" w:cs="宋体"/>
                <w:kern w:val="0"/>
                <w:sz w:val="20"/>
                <w:szCs w:val="20"/>
              </w:rPr>
            </w:pPr>
            <w:r>
              <w:rPr>
                <w:rFonts w:hint="eastAsia" w:ascii="宋体" w:hAnsi="宋体" w:cs="宋体"/>
                <w:kern w:val="0"/>
                <w:sz w:val="20"/>
                <w:szCs w:val="20"/>
              </w:rPr>
              <w:t xml:space="preserve">     </w:t>
            </w:r>
          </w:p>
        </w:tc>
        <w:tc>
          <w:tcPr>
            <w:tcW w:w="3119" w:type="dxa"/>
            <w:gridSpan w:val="2"/>
            <w:tcBorders>
              <w:top w:val="nil"/>
              <w:left w:val="nil"/>
              <w:bottom w:val="nil"/>
              <w:right w:val="nil"/>
            </w:tcBorders>
            <w:shd w:val="clear" w:color="auto" w:fill="auto"/>
            <w:vAlign w:val="bottom"/>
          </w:tcPr>
          <w:p w14:paraId="314B2A03">
            <w:pPr>
              <w:jc w:val="right"/>
              <w:rPr>
                <w:rFonts w:ascii="宋体" w:hAnsi="宋体" w:cs="宋体"/>
                <w:kern w:val="0"/>
                <w:sz w:val="20"/>
                <w:szCs w:val="20"/>
              </w:rPr>
            </w:pPr>
            <w:r>
              <w:rPr>
                <w:rFonts w:hint="eastAsia" w:ascii="宋体" w:hAnsi="宋体" w:cs="宋体"/>
                <w:kern w:val="0"/>
                <w:sz w:val="20"/>
                <w:szCs w:val="20"/>
              </w:rPr>
              <w:t>第1页 共1页</w:t>
            </w:r>
          </w:p>
        </w:tc>
      </w:tr>
      <w:tr w14:paraId="2521C93C">
        <w:tblPrEx>
          <w:tblCellMar>
            <w:top w:w="0" w:type="dxa"/>
            <w:left w:w="108" w:type="dxa"/>
            <w:bottom w:w="0" w:type="dxa"/>
            <w:right w:w="108" w:type="dxa"/>
          </w:tblCellMar>
        </w:tblPrEx>
        <w:trPr>
          <w:trHeight w:val="342" w:hRule="atLeast"/>
        </w:trPr>
        <w:tc>
          <w:tcPr>
            <w:tcW w:w="486" w:type="dxa"/>
            <w:tcBorders>
              <w:top w:val="single" w:color="auto" w:sz="4" w:space="0"/>
              <w:left w:val="single" w:color="auto" w:sz="4" w:space="0"/>
              <w:bottom w:val="single" w:color="000000" w:sz="4" w:space="0"/>
              <w:right w:val="single" w:color="000000" w:sz="4" w:space="0"/>
            </w:tcBorders>
            <w:shd w:val="clear" w:color="000000" w:fill="FFFFFF"/>
            <w:noWrap/>
            <w:vAlign w:val="center"/>
          </w:tcPr>
          <w:p w14:paraId="44AB2C70">
            <w:pPr>
              <w:jc w:val="center"/>
              <w:rPr>
                <w:rFonts w:ascii="宋体" w:hAnsi="宋体" w:cs="宋体"/>
                <w:kern w:val="0"/>
                <w:sz w:val="20"/>
                <w:szCs w:val="20"/>
              </w:rPr>
            </w:pPr>
            <w:r>
              <w:rPr>
                <w:rFonts w:hint="eastAsia" w:ascii="宋体" w:hAnsi="宋体" w:cs="宋体"/>
                <w:kern w:val="0"/>
                <w:sz w:val="20"/>
                <w:szCs w:val="20"/>
              </w:rPr>
              <w:t>序号</w:t>
            </w:r>
          </w:p>
        </w:tc>
        <w:tc>
          <w:tcPr>
            <w:tcW w:w="2648" w:type="dxa"/>
            <w:tcBorders>
              <w:top w:val="single" w:color="auto" w:sz="4" w:space="0"/>
              <w:left w:val="nil"/>
              <w:bottom w:val="single" w:color="000000" w:sz="4" w:space="0"/>
              <w:right w:val="single" w:color="000000" w:sz="4" w:space="0"/>
            </w:tcBorders>
            <w:shd w:val="clear" w:color="000000" w:fill="FFFFFF"/>
            <w:vAlign w:val="center"/>
          </w:tcPr>
          <w:p w14:paraId="497EFC85">
            <w:pPr>
              <w:jc w:val="center"/>
              <w:rPr>
                <w:rFonts w:ascii="宋体" w:hAnsi="宋体" w:cs="宋体"/>
                <w:kern w:val="0"/>
                <w:sz w:val="20"/>
                <w:szCs w:val="20"/>
              </w:rPr>
            </w:pPr>
            <w:r>
              <w:rPr>
                <w:rFonts w:hint="eastAsia" w:ascii="宋体" w:hAnsi="宋体" w:cs="宋体"/>
                <w:kern w:val="0"/>
                <w:sz w:val="20"/>
                <w:szCs w:val="20"/>
              </w:rPr>
              <w:t>项目名称</w:t>
            </w:r>
          </w:p>
        </w:tc>
        <w:tc>
          <w:tcPr>
            <w:tcW w:w="2551" w:type="dxa"/>
            <w:tcBorders>
              <w:top w:val="single" w:color="auto" w:sz="4" w:space="0"/>
              <w:left w:val="nil"/>
              <w:bottom w:val="single" w:color="000000" w:sz="4" w:space="0"/>
              <w:right w:val="single" w:color="000000" w:sz="4" w:space="0"/>
            </w:tcBorders>
            <w:shd w:val="clear" w:color="000000" w:fill="FFFFFF"/>
            <w:vAlign w:val="center"/>
          </w:tcPr>
          <w:p w14:paraId="5E31B3F8">
            <w:pPr>
              <w:jc w:val="center"/>
              <w:rPr>
                <w:rFonts w:ascii="宋体" w:hAnsi="宋体" w:cs="宋体"/>
                <w:kern w:val="0"/>
                <w:sz w:val="20"/>
                <w:szCs w:val="20"/>
              </w:rPr>
            </w:pPr>
            <w:r>
              <w:rPr>
                <w:rFonts w:hint="eastAsia" w:ascii="宋体" w:hAnsi="宋体" w:cs="宋体"/>
                <w:kern w:val="0"/>
                <w:sz w:val="20"/>
                <w:szCs w:val="20"/>
              </w:rPr>
              <w:t>计算基础</w:t>
            </w:r>
          </w:p>
        </w:tc>
        <w:tc>
          <w:tcPr>
            <w:tcW w:w="1276" w:type="dxa"/>
            <w:tcBorders>
              <w:top w:val="single" w:color="auto" w:sz="4" w:space="0"/>
              <w:left w:val="nil"/>
              <w:bottom w:val="single" w:color="000000" w:sz="4" w:space="0"/>
              <w:right w:val="single" w:color="000000" w:sz="4" w:space="0"/>
            </w:tcBorders>
            <w:shd w:val="clear" w:color="000000" w:fill="FFFFFF"/>
            <w:vAlign w:val="center"/>
          </w:tcPr>
          <w:p w14:paraId="30B410A4">
            <w:pPr>
              <w:jc w:val="center"/>
              <w:rPr>
                <w:rFonts w:ascii="宋体" w:hAnsi="宋体" w:cs="宋体"/>
                <w:kern w:val="0"/>
                <w:sz w:val="20"/>
                <w:szCs w:val="20"/>
              </w:rPr>
            </w:pPr>
            <w:r>
              <w:rPr>
                <w:rFonts w:hint="eastAsia" w:ascii="宋体" w:hAnsi="宋体" w:cs="宋体"/>
                <w:kern w:val="0"/>
                <w:sz w:val="20"/>
                <w:szCs w:val="20"/>
              </w:rPr>
              <w:t>费率(%)</w:t>
            </w:r>
          </w:p>
        </w:tc>
        <w:tc>
          <w:tcPr>
            <w:tcW w:w="1843" w:type="dxa"/>
            <w:tcBorders>
              <w:top w:val="single" w:color="auto" w:sz="4" w:space="0"/>
              <w:left w:val="nil"/>
              <w:bottom w:val="single" w:color="000000" w:sz="4" w:space="0"/>
              <w:right w:val="single" w:color="auto" w:sz="4" w:space="0"/>
            </w:tcBorders>
            <w:shd w:val="clear" w:color="000000" w:fill="FFFFFF"/>
            <w:vAlign w:val="center"/>
          </w:tcPr>
          <w:p w14:paraId="700D2C6B">
            <w:pPr>
              <w:jc w:val="center"/>
              <w:rPr>
                <w:rFonts w:ascii="宋体" w:hAnsi="宋体" w:cs="宋体"/>
                <w:kern w:val="0"/>
                <w:sz w:val="20"/>
                <w:szCs w:val="20"/>
              </w:rPr>
            </w:pPr>
            <w:r>
              <w:rPr>
                <w:rFonts w:hint="eastAsia" w:ascii="宋体" w:hAnsi="宋体" w:cs="宋体"/>
                <w:kern w:val="0"/>
                <w:sz w:val="20"/>
                <w:szCs w:val="20"/>
              </w:rPr>
              <w:t>金额(元)</w:t>
            </w:r>
          </w:p>
        </w:tc>
      </w:tr>
      <w:tr w14:paraId="493D6463">
        <w:tblPrEx>
          <w:tblCellMar>
            <w:top w:w="0" w:type="dxa"/>
            <w:left w:w="108" w:type="dxa"/>
            <w:bottom w:w="0" w:type="dxa"/>
            <w:right w:w="108" w:type="dxa"/>
          </w:tblCellMar>
        </w:tblPrEx>
        <w:trPr>
          <w:trHeight w:val="638"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2E77C693">
            <w:pPr>
              <w:jc w:val="center"/>
              <w:rPr>
                <w:rFonts w:ascii="宋体" w:hAnsi="宋体" w:cs="宋体"/>
                <w:kern w:val="0"/>
                <w:sz w:val="18"/>
                <w:szCs w:val="18"/>
              </w:rPr>
            </w:pPr>
            <w:r>
              <w:rPr>
                <w:rFonts w:hint="eastAsia" w:ascii="宋体" w:hAnsi="宋体" w:cs="宋体"/>
                <w:kern w:val="0"/>
                <w:sz w:val="18"/>
                <w:szCs w:val="18"/>
              </w:rPr>
              <w:t>1</w:t>
            </w:r>
          </w:p>
        </w:tc>
        <w:tc>
          <w:tcPr>
            <w:tcW w:w="2648" w:type="dxa"/>
            <w:tcBorders>
              <w:top w:val="nil"/>
              <w:left w:val="nil"/>
              <w:bottom w:val="single" w:color="auto" w:sz="4" w:space="0"/>
              <w:right w:val="single" w:color="auto" w:sz="4" w:space="0"/>
            </w:tcBorders>
            <w:shd w:val="clear" w:color="000000" w:fill="FFFFFF"/>
            <w:vAlign w:val="center"/>
          </w:tcPr>
          <w:p w14:paraId="0AAA7AE2">
            <w:pPr>
              <w:jc w:val="left"/>
              <w:rPr>
                <w:rFonts w:ascii="宋体" w:hAnsi="宋体" w:cs="宋体"/>
                <w:kern w:val="0"/>
                <w:sz w:val="18"/>
                <w:szCs w:val="18"/>
              </w:rPr>
            </w:pPr>
            <w:r>
              <w:rPr>
                <w:rFonts w:hint="eastAsia" w:ascii="宋体" w:hAnsi="宋体" w:cs="宋体"/>
                <w:kern w:val="0"/>
                <w:sz w:val="18"/>
                <w:szCs w:val="18"/>
              </w:rPr>
              <w:t>规费</w:t>
            </w:r>
          </w:p>
        </w:tc>
        <w:tc>
          <w:tcPr>
            <w:tcW w:w="2551" w:type="dxa"/>
            <w:tcBorders>
              <w:top w:val="nil"/>
              <w:left w:val="nil"/>
              <w:bottom w:val="single" w:color="auto" w:sz="4" w:space="0"/>
              <w:right w:val="single" w:color="auto" w:sz="4" w:space="0"/>
            </w:tcBorders>
            <w:shd w:val="clear" w:color="000000" w:fill="FFFFFF"/>
            <w:vAlign w:val="center"/>
          </w:tcPr>
          <w:p w14:paraId="6FE20935">
            <w:pPr>
              <w:jc w:val="left"/>
              <w:rPr>
                <w:rFonts w:ascii="宋体" w:hAnsi="宋体" w:cs="宋体"/>
                <w:kern w:val="0"/>
                <w:sz w:val="18"/>
                <w:szCs w:val="18"/>
              </w:rPr>
            </w:pPr>
            <w:r>
              <w:rPr>
                <w:rFonts w:hint="eastAsia" w:ascii="宋体" w:hAnsi="宋体" w:cs="宋体"/>
                <w:kern w:val="0"/>
                <w:sz w:val="18"/>
                <w:szCs w:val="18"/>
              </w:rPr>
              <w:t>(分部分项工程费+措施项目费+其他项目费)中的人工费</w:t>
            </w:r>
          </w:p>
        </w:tc>
        <w:tc>
          <w:tcPr>
            <w:tcW w:w="1276" w:type="dxa"/>
            <w:tcBorders>
              <w:top w:val="nil"/>
              <w:left w:val="nil"/>
              <w:bottom w:val="single" w:color="auto" w:sz="4" w:space="0"/>
              <w:right w:val="single" w:color="auto" w:sz="4" w:space="0"/>
            </w:tcBorders>
            <w:shd w:val="clear" w:color="000000" w:fill="FFFFFF"/>
            <w:noWrap/>
            <w:vAlign w:val="center"/>
          </w:tcPr>
          <w:p w14:paraId="46ED9422">
            <w:pPr>
              <w:jc w:val="right"/>
              <w:rPr>
                <w:rFonts w:ascii="宋体" w:hAnsi="宋体" w:cs="宋体"/>
                <w:kern w:val="0"/>
                <w:sz w:val="18"/>
                <w:szCs w:val="18"/>
              </w:rPr>
            </w:pPr>
            <w:r>
              <w:rPr>
                <w:rFonts w:hint="eastAsia" w:ascii="宋体" w:hAnsi="宋体" w:cs="宋体"/>
                <w:kern w:val="0"/>
                <w:sz w:val="18"/>
                <w:szCs w:val="18"/>
              </w:rPr>
              <w:t xml:space="preserve"> </w:t>
            </w:r>
          </w:p>
        </w:tc>
        <w:tc>
          <w:tcPr>
            <w:tcW w:w="1843" w:type="dxa"/>
            <w:tcBorders>
              <w:top w:val="nil"/>
              <w:left w:val="nil"/>
              <w:bottom w:val="single" w:color="auto" w:sz="4" w:space="0"/>
              <w:right w:val="single" w:color="auto" w:sz="4" w:space="0"/>
            </w:tcBorders>
            <w:shd w:val="clear" w:color="000000" w:fill="FFFFFF"/>
            <w:noWrap/>
            <w:vAlign w:val="center"/>
          </w:tcPr>
          <w:p w14:paraId="4714EECC">
            <w:pPr>
              <w:jc w:val="right"/>
              <w:rPr>
                <w:rFonts w:ascii="宋体" w:hAnsi="宋体" w:cs="宋体"/>
                <w:kern w:val="0"/>
                <w:sz w:val="18"/>
                <w:szCs w:val="18"/>
              </w:rPr>
            </w:pPr>
            <w:r>
              <w:rPr>
                <w:rFonts w:hint="eastAsia" w:ascii="宋体" w:hAnsi="宋体" w:cs="宋体"/>
                <w:kern w:val="0"/>
                <w:sz w:val="18"/>
                <w:szCs w:val="18"/>
              </w:rPr>
              <w:t xml:space="preserve"> </w:t>
            </w:r>
          </w:p>
        </w:tc>
      </w:tr>
      <w:tr w14:paraId="7238BDF7">
        <w:tblPrEx>
          <w:tblCellMar>
            <w:top w:w="0" w:type="dxa"/>
            <w:left w:w="108" w:type="dxa"/>
            <w:bottom w:w="0" w:type="dxa"/>
            <w:right w:w="108" w:type="dxa"/>
          </w:tblCellMar>
        </w:tblPrEx>
        <w:trPr>
          <w:trHeight w:val="342"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5A5A59FB">
            <w:pPr>
              <w:jc w:val="center"/>
              <w:rPr>
                <w:rFonts w:ascii="宋体" w:hAnsi="宋体" w:cs="宋体"/>
                <w:kern w:val="0"/>
                <w:sz w:val="18"/>
                <w:szCs w:val="18"/>
              </w:rPr>
            </w:pPr>
            <w:r>
              <w:rPr>
                <w:rFonts w:hint="eastAsia" w:ascii="宋体" w:hAnsi="宋体" w:cs="宋体"/>
                <w:kern w:val="0"/>
                <w:sz w:val="18"/>
                <w:szCs w:val="18"/>
              </w:rPr>
              <w:t>2</w:t>
            </w:r>
          </w:p>
        </w:tc>
        <w:tc>
          <w:tcPr>
            <w:tcW w:w="2648" w:type="dxa"/>
            <w:tcBorders>
              <w:top w:val="nil"/>
              <w:left w:val="nil"/>
              <w:bottom w:val="single" w:color="auto" w:sz="4" w:space="0"/>
              <w:right w:val="single" w:color="auto" w:sz="4" w:space="0"/>
            </w:tcBorders>
            <w:shd w:val="clear" w:color="000000" w:fill="FFFFFF"/>
            <w:vAlign w:val="center"/>
          </w:tcPr>
          <w:p w14:paraId="4A5D0FB6">
            <w:pPr>
              <w:jc w:val="left"/>
              <w:rPr>
                <w:rFonts w:ascii="宋体" w:hAnsi="宋体" w:cs="宋体"/>
                <w:kern w:val="0"/>
                <w:sz w:val="18"/>
                <w:szCs w:val="18"/>
              </w:rPr>
            </w:pPr>
            <w:r>
              <w:rPr>
                <w:rFonts w:hint="eastAsia" w:ascii="宋体" w:hAnsi="宋体" w:cs="宋体"/>
                <w:kern w:val="0"/>
                <w:sz w:val="18"/>
                <w:szCs w:val="18"/>
              </w:rPr>
              <w:t>应纳税费</w:t>
            </w:r>
          </w:p>
        </w:tc>
        <w:tc>
          <w:tcPr>
            <w:tcW w:w="2551" w:type="dxa"/>
            <w:tcBorders>
              <w:top w:val="nil"/>
              <w:left w:val="nil"/>
              <w:bottom w:val="single" w:color="auto" w:sz="4" w:space="0"/>
              <w:right w:val="single" w:color="auto" w:sz="4" w:space="0"/>
            </w:tcBorders>
            <w:shd w:val="clear" w:color="000000" w:fill="FFFFFF"/>
            <w:vAlign w:val="center"/>
          </w:tcPr>
          <w:p w14:paraId="738B0716">
            <w:pPr>
              <w:jc w:val="left"/>
              <w:rPr>
                <w:rFonts w:ascii="宋体" w:hAnsi="宋体" w:cs="宋体"/>
                <w:kern w:val="0"/>
                <w:sz w:val="18"/>
                <w:szCs w:val="18"/>
              </w:rPr>
            </w:pPr>
            <w:r>
              <w:rPr>
                <w:rFonts w:hint="eastAsia" w:ascii="宋体" w:hAnsi="宋体" w:cs="宋体"/>
                <w:kern w:val="0"/>
                <w:sz w:val="18"/>
                <w:szCs w:val="18"/>
              </w:rPr>
              <w:t>应纳税费合计</w:t>
            </w:r>
          </w:p>
        </w:tc>
        <w:tc>
          <w:tcPr>
            <w:tcW w:w="1276" w:type="dxa"/>
            <w:tcBorders>
              <w:top w:val="nil"/>
              <w:left w:val="nil"/>
              <w:bottom w:val="single" w:color="auto" w:sz="4" w:space="0"/>
              <w:right w:val="single" w:color="auto" w:sz="4" w:space="0"/>
            </w:tcBorders>
            <w:shd w:val="clear" w:color="000000" w:fill="FFFFFF"/>
            <w:noWrap/>
            <w:vAlign w:val="center"/>
          </w:tcPr>
          <w:p w14:paraId="17E52BD9">
            <w:pPr>
              <w:jc w:val="right"/>
              <w:rPr>
                <w:rFonts w:ascii="宋体" w:hAnsi="宋体" w:cs="宋体"/>
                <w:kern w:val="0"/>
                <w:sz w:val="18"/>
                <w:szCs w:val="18"/>
              </w:rPr>
            </w:pPr>
            <w:r>
              <w:rPr>
                <w:rFonts w:hint="eastAsia" w:ascii="宋体" w:hAnsi="宋体" w:cs="宋体"/>
                <w:kern w:val="0"/>
                <w:sz w:val="18"/>
                <w:szCs w:val="18"/>
              </w:rPr>
              <w:t xml:space="preserve"> </w:t>
            </w:r>
          </w:p>
        </w:tc>
        <w:tc>
          <w:tcPr>
            <w:tcW w:w="1843" w:type="dxa"/>
            <w:tcBorders>
              <w:top w:val="nil"/>
              <w:left w:val="nil"/>
              <w:bottom w:val="single" w:color="auto" w:sz="4" w:space="0"/>
              <w:right w:val="single" w:color="auto" w:sz="4" w:space="0"/>
            </w:tcBorders>
            <w:shd w:val="clear" w:color="000000" w:fill="FFFFFF"/>
            <w:noWrap/>
            <w:vAlign w:val="center"/>
          </w:tcPr>
          <w:p w14:paraId="5890ACF3">
            <w:pPr>
              <w:jc w:val="right"/>
              <w:rPr>
                <w:rFonts w:ascii="宋体" w:hAnsi="宋体" w:cs="宋体"/>
                <w:kern w:val="0"/>
                <w:sz w:val="18"/>
                <w:szCs w:val="18"/>
              </w:rPr>
            </w:pPr>
            <w:r>
              <w:rPr>
                <w:rFonts w:hint="eastAsia" w:ascii="宋体" w:hAnsi="宋体" w:cs="宋体"/>
                <w:kern w:val="0"/>
                <w:sz w:val="18"/>
                <w:szCs w:val="18"/>
              </w:rPr>
              <w:t xml:space="preserve"> </w:t>
            </w:r>
          </w:p>
        </w:tc>
      </w:tr>
      <w:tr w14:paraId="721D6F70">
        <w:tblPrEx>
          <w:tblCellMar>
            <w:top w:w="0" w:type="dxa"/>
            <w:left w:w="108" w:type="dxa"/>
            <w:bottom w:w="0" w:type="dxa"/>
            <w:right w:w="108" w:type="dxa"/>
          </w:tblCellMar>
        </w:tblPrEx>
        <w:trPr>
          <w:trHeight w:val="638"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529C7A75">
            <w:pPr>
              <w:jc w:val="center"/>
              <w:rPr>
                <w:rFonts w:ascii="宋体" w:hAnsi="宋体" w:cs="宋体"/>
                <w:kern w:val="0"/>
                <w:sz w:val="18"/>
                <w:szCs w:val="18"/>
              </w:rPr>
            </w:pPr>
            <w:r>
              <w:rPr>
                <w:rFonts w:hint="eastAsia" w:ascii="宋体" w:hAnsi="宋体" w:cs="宋体"/>
                <w:kern w:val="0"/>
                <w:sz w:val="18"/>
                <w:szCs w:val="18"/>
              </w:rPr>
              <w:t>2.1</w:t>
            </w:r>
          </w:p>
        </w:tc>
        <w:tc>
          <w:tcPr>
            <w:tcW w:w="2648" w:type="dxa"/>
            <w:tcBorders>
              <w:top w:val="nil"/>
              <w:left w:val="nil"/>
              <w:bottom w:val="single" w:color="auto" w:sz="4" w:space="0"/>
              <w:right w:val="single" w:color="auto" w:sz="4" w:space="0"/>
            </w:tcBorders>
            <w:shd w:val="clear" w:color="000000" w:fill="FFFFFF"/>
            <w:vAlign w:val="center"/>
          </w:tcPr>
          <w:p w14:paraId="00189E0B">
            <w:pPr>
              <w:jc w:val="left"/>
              <w:rPr>
                <w:rFonts w:ascii="宋体" w:hAnsi="宋体" w:cs="宋体"/>
                <w:kern w:val="0"/>
                <w:sz w:val="18"/>
                <w:szCs w:val="18"/>
              </w:rPr>
            </w:pPr>
            <w:r>
              <w:rPr>
                <w:rFonts w:hint="eastAsia" w:ascii="宋体" w:hAnsi="宋体" w:cs="宋体"/>
                <w:kern w:val="0"/>
                <w:sz w:val="18"/>
                <w:szCs w:val="18"/>
              </w:rPr>
              <w:t>增值税应纳税额</w:t>
            </w:r>
          </w:p>
        </w:tc>
        <w:tc>
          <w:tcPr>
            <w:tcW w:w="2551" w:type="dxa"/>
            <w:tcBorders>
              <w:top w:val="nil"/>
              <w:left w:val="nil"/>
              <w:bottom w:val="single" w:color="auto" w:sz="4" w:space="0"/>
              <w:right w:val="single" w:color="auto" w:sz="4" w:space="0"/>
            </w:tcBorders>
            <w:shd w:val="clear" w:color="000000" w:fill="FFFFFF"/>
            <w:vAlign w:val="center"/>
          </w:tcPr>
          <w:p w14:paraId="5D504B82">
            <w:pPr>
              <w:jc w:val="left"/>
              <w:rPr>
                <w:rFonts w:ascii="宋体" w:hAnsi="宋体" w:cs="宋体"/>
                <w:kern w:val="0"/>
                <w:sz w:val="18"/>
                <w:szCs w:val="18"/>
              </w:rPr>
            </w:pPr>
            <w:r>
              <w:rPr>
                <w:rFonts w:hint="eastAsia" w:ascii="宋体" w:hAnsi="宋体" w:cs="宋体"/>
                <w:kern w:val="0"/>
                <w:sz w:val="18"/>
                <w:szCs w:val="18"/>
              </w:rPr>
              <w:t>分部分项工程费+措施项目费+其他项目费+规费</w:t>
            </w:r>
          </w:p>
        </w:tc>
        <w:tc>
          <w:tcPr>
            <w:tcW w:w="1276" w:type="dxa"/>
            <w:tcBorders>
              <w:top w:val="nil"/>
              <w:left w:val="nil"/>
              <w:bottom w:val="single" w:color="auto" w:sz="4" w:space="0"/>
              <w:right w:val="single" w:color="auto" w:sz="4" w:space="0"/>
            </w:tcBorders>
            <w:shd w:val="clear" w:color="000000" w:fill="FFFFFF"/>
            <w:noWrap/>
            <w:vAlign w:val="center"/>
          </w:tcPr>
          <w:p w14:paraId="0F3C6AF4">
            <w:pPr>
              <w:jc w:val="right"/>
              <w:rPr>
                <w:rFonts w:ascii="宋体" w:hAnsi="宋体" w:cs="宋体"/>
                <w:kern w:val="0"/>
                <w:sz w:val="18"/>
                <w:szCs w:val="18"/>
              </w:rPr>
            </w:pPr>
            <w:r>
              <w:rPr>
                <w:rFonts w:hint="eastAsia" w:ascii="宋体" w:hAnsi="宋体" w:cs="宋体"/>
                <w:kern w:val="0"/>
                <w:sz w:val="18"/>
                <w:szCs w:val="18"/>
              </w:rPr>
              <w:t xml:space="preserve"> </w:t>
            </w:r>
          </w:p>
        </w:tc>
        <w:tc>
          <w:tcPr>
            <w:tcW w:w="1843" w:type="dxa"/>
            <w:tcBorders>
              <w:top w:val="nil"/>
              <w:left w:val="nil"/>
              <w:bottom w:val="single" w:color="auto" w:sz="4" w:space="0"/>
              <w:right w:val="single" w:color="auto" w:sz="4" w:space="0"/>
            </w:tcBorders>
            <w:shd w:val="clear" w:color="000000" w:fill="FFFFFF"/>
            <w:noWrap/>
            <w:vAlign w:val="center"/>
          </w:tcPr>
          <w:p w14:paraId="34C903D4">
            <w:pPr>
              <w:jc w:val="right"/>
              <w:rPr>
                <w:rFonts w:ascii="宋体" w:hAnsi="宋体" w:cs="宋体"/>
                <w:kern w:val="0"/>
                <w:sz w:val="18"/>
                <w:szCs w:val="18"/>
              </w:rPr>
            </w:pPr>
            <w:r>
              <w:rPr>
                <w:rFonts w:hint="eastAsia" w:ascii="宋体" w:hAnsi="宋体" w:cs="宋体"/>
                <w:kern w:val="0"/>
                <w:sz w:val="18"/>
                <w:szCs w:val="18"/>
              </w:rPr>
              <w:t xml:space="preserve"> </w:t>
            </w:r>
          </w:p>
        </w:tc>
      </w:tr>
      <w:tr w14:paraId="2020C58E">
        <w:tblPrEx>
          <w:tblCellMar>
            <w:top w:w="0" w:type="dxa"/>
            <w:left w:w="108" w:type="dxa"/>
            <w:bottom w:w="0" w:type="dxa"/>
            <w:right w:w="108" w:type="dxa"/>
          </w:tblCellMar>
        </w:tblPrEx>
        <w:trPr>
          <w:trHeight w:val="342"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64767BCA">
            <w:pPr>
              <w:jc w:val="center"/>
              <w:rPr>
                <w:rFonts w:ascii="宋体" w:hAnsi="宋体" w:cs="宋体"/>
                <w:kern w:val="0"/>
                <w:sz w:val="18"/>
                <w:szCs w:val="18"/>
              </w:rPr>
            </w:pPr>
            <w:r>
              <w:rPr>
                <w:rFonts w:hint="eastAsia" w:ascii="宋体" w:hAnsi="宋体" w:cs="宋体"/>
                <w:kern w:val="0"/>
                <w:sz w:val="18"/>
                <w:szCs w:val="18"/>
              </w:rPr>
              <w:t>2.2</w:t>
            </w:r>
          </w:p>
        </w:tc>
        <w:tc>
          <w:tcPr>
            <w:tcW w:w="2648" w:type="dxa"/>
            <w:tcBorders>
              <w:top w:val="nil"/>
              <w:left w:val="nil"/>
              <w:bottom w:val="single" w:color="auto" w:sz="4" w:space="0"/>
              <w:right w:val="single" w:color="auto" w:sz="4" w:space="0"/>
            </w:tcBorders>
            <w:shd w:val="clear" w:color="000000" w:fill="FFFFFF"/>
            <w:vAlign w:val="center"/>
          </w:tcPr>
          <w:p w14:paraId="59F9ACC8">
            <w:pPr>
              <w:jc w:val="left"/>
              <w:rPr>
                <w:rFonts w:ascii="宋体" w:hAnsi="宋体" w:cs="宋体"/>
                <w:kern w:val="0"/>
                <w:sz w:val="18"/>
                <w:szCs w:val="18"/>
              </w:rPr>
            </w:pPr>
            <w:r>
              <w:rPr>
                <w:rFonts w:hint="eastAsia" w:ascii="宋体" w:hAnsi="宋体" w:cs="宋体"/>
                <w:kern w:val="0"/>
                <w:sz w:val="18"/>
                <w:szCs w:val="18"/>
              </w:rPr>
              <w:t>城市维护建设税、教育费附加及地方教育费附加</w:t>
            </w:r>
          </w:p>
        </w:tc>
        <w:tc>
          <w:tcPr>
            <w:tcW w:w="2551" w:type="dxa"/>
            <w:tcBorders>
              <w:top w:val="nil"/>
              <w:left w:val="nil"/>
              <w:bottom w:val="single" w:color="auto" w:sz="4" w:space="0"/>
              <w:right w:val="single" w:color="auto" w:sz="4" w:space="0"/>
            </w:tcBorders>
            <w:shd w:val="clear" w:color="000000" w:fill="FFFFFF"/>
            <w:vAlign w:val="center"/>
          </w:tcPr>
          <w:p w14:paraId="1E341B0E">
            <w:pPr>
              <w:jc w:val="left"/>
              <w:rPr>
                <w:rFonts w:ascii="宋体" w:hAnsi="宋体" w:cs="宋体"/>
                <w:kern w:val="0"/>
                <w:sz w:val="18"/>
                <w:szCs w:val="18"/>
              </w:rPr>
            </w:pPr>
            <w:r>
              <w:rPr>
                <w:rFonts w:hint="eastAsia" w:ascii="宋体" w:hAnsi="宋体" w:cs="宋体"/>
                <w:kern w:val="0"/>
                <w:sz w:val="18"/>
                <w:szCs w:val="18"/>
              </w:rPr>
              <w:t>增值税应纳税额</w:t>
            </w:r>
          </w:p>
        </w:tc>
        <w:tc>
          <w:tcPr>
            <w:tcW w:w="1276" w:type="dxa"/>
            <w:tcBorders>
              <w:top w:val="nil"/>
              <w:left w:val="nil"/>
              <w:bottom w:val="single" w:color="auto" w:sz="4" w:space="0"/>
              <w:right w:val="single" w:color="auto" w:sz="4" w:space="0"/>
            </w:tcBorders>
            <w:shd w:val="clear" w:color="000000" w:fill="FFFFFF"/>
            <w:noWrap/>
            <w:vAlign w:val="center"/>
          </w:tcPr>
          <w:p w14:paraId="1B3A1D23">
            <w:pPr>
              <w:jc w:val="right"/>
              <w:rPr>
                <w:rFonts w:ascii="宋体" w:hAnsi="宋体" w:cs="宋体"/>
                <w:kern w:val="0"/>
                <w:sz w:val="18"/>
                <w:szCs w:val="18"/>
              </w:rPr>
            </w:pPr>
            <w:r>
              <w:rPr>
                <w:rFonts w:hint="eastAsia" w:ascii="宋体" w:hAnsi="宋体" w:cs="宋体"/>
                <w:kern w:val="0"/>
                <w:sz w:val="18"/>
                <w:szCs w:val="18"/>
              </w:rPr>
              <w:t xml:space="preserve"> </w:t>
            </w:r>
          </w:p>
        </w:tc>
        <w:tc>
          <w:tcPr>
            <w:tcW w:w="1843" w:type="dxa"/>
            <w:tcBorders>
              <w:top w:val="nil"/>
              <w:left w:val="nil"/>
              <w:bottom w:val="single" w:color="auto" w:sz="4" w:space="0"/>
              <w:right w:val="single" w:color="auto" w:sz="4" w:space="0"/>
            </w:tcBorders>
            <w:shd w:val="clear" w:color="000000" w:fill="FFFFFF"/>
            <w:noWrap/>
            <w:vAlign w:val="center"/>
          </w:tcPr>
          <w:p w14:paraId="2C8F2B6E">
            <w:pPr>
              <w:jc w:val="right"/>
              <w:rPr>
                <w:rFonts w:ascii="宋体" w:hAnsi="宋体" w:cs="宋体"/>
                <w:kern w:val="0"/>
                <w:sz w:val="18"/>
                <w:szCs w:val="18"/>
              </w:rPr>
            </w:pPr>
            <w:r>
              <w:rPr>
                <w:rFonts w:hint="eastAsia" w:ascii="宋体" w:hAnsi="宋体" w:cs="宋体"/>
                <w:kern w:val="0"/>
                <w:sz w:val="18"/>
                <w:szCs w:val="18"/>
              </w:rPr>
              <w:t xml:space="preserve"> </w:t>
            </w:r>
          </w:p>
        </w:tc>
      </w:tr>
      <w:tr w14:paraId="280F9061">
        <w:tblPrEx>
          <w:tblCellMar>
            <w:top w:w="0" w:type="dxa"/>
            <w:left w:w="108" w:type="dxa"/>
            <w:bottom w:w="0" w:type="dxa"/>
            <w:right w:w="108" w:type="dxa"/>
          </w:tblCellMar>
        </w:tblPrEx>
        <w:trPr>
          <w:trHeight w:val="342"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619D76FA">
            <w:pPr>
              <w:jc w:val="center"/>
              <w:rPr>
                <w:rFonts w:ascii="宋体" w:hAnsi="宋体" w:cs="宋体"/>
                <w:kern w:val="0"/>
                <w:sz w:val="18"/>
                <w:szCs w:val="18"/>
              </w:rPr>
            </w:pPr>
          </w:p>
        </w:tc>
        <w:tc>
          <w:tcPr>
            <w:tcW w:w="2648" w:type="dxa"/>
            <w:tcBorders>
              <w:top w:val="nil"/>
              <w:left w:val="nil"/>
              <w:bottom w:val="single" w:color="auto" w:sz="4" w:space="0"/>
              <w:right w:val="single" w:color="auto" w:sz="4" w:space="0"/>
            </w:tcBorders>
            <w:shd w:val="clear" w:color="000000" w:fill="FFFFFF"/>
            <w:vAlign w:val="center"/>
          </w:tcPr>
          <w:p w14:paraId="160FB5AF">
            <w:pPr>
              <w:jc w:val="left"/>
              <w:rPr>
                <w:rFonts w:ascii="宋体" w:hAnsi="宋体" w:cs="宋体"/>
                <w:kern w:val="0"/>
                <w:sz w:val="18"/>
                <w:szCs w:val="18"/>
              </w:rPr>
            </w:pPr>
          </w:p>
        </w:tc>
        <w:tc>
          <w:tcPr>
            <w:tcW w:w="2551" w:type="dxa"/>
            <w:tcBorders>
              <w:top w:val="nil"/>
              <w:left w:val="nil"/>
              <w:bottom w:val="single" w:color="auto" w:sz="4" w:space="0"/>
              <w:right w:val="single" w:color="auto" w:sz="4" w:space="0"/>
            </w:tcBorders>
            <w:shd w:val="clear" w:color="000000" w:fill="FFFFFF"/>
            <w:vAlign w:val="center"/>
          </w:tcPr>
          <w:p w14:paraId="538F54DB">
            <w:pPr>
              <w:jc w:val="left"/>
              <w:rPr>
                <w:rFonts w:ascii="宋体" w:hAnsi="宋体" w:cs="宋体"/>
                <w:kern w:val="0"/>
                <w:sz w:val="18"/>
                <w:szCs w:val="18"/>
              </w:rPr>
            </w:pPr>
          </w:p>
        </w:tc>
        <w:tc>
          <w:tcPr>
            <w:tcW w:w="1276" w:type="dxa"/>
            <w:tcBorders>
              <w:top w:val="nil"/>
              <w:left w:val="nil"/>
              <w:bottom w:val="single" w:color="auto" w:sz="4" w:space="0"/>
              <w:right w:val="single" w:color="auto" w:sz="4" w:space="0"/>
            </w:tcBorders>
            <w:shd w:val="clear" w:color="000000" w:fill="FFFFFF"/>
            <w:noWrap/>
            <w:vAlign w:val="center"/>
          </w:tcPr>
          <w:p w14:paraId="513A9025">
            <w:pPr>
              <w:jc w:val="right"/>
              <w:rPr>
                <w:rFonts w:ascii="宋体" w:hAnsi="宋体" w:cs="宋体"/>
                <w:kern w:val="0"/>
                <w:sz w:val="18"/>
                <w:szCs w:val="18"/>
              </w:rPr>
            </w:pPr>
          </w:p>
        </w:tc>
        <w:tc>
          <w:tcPr>
            <w:tcW w:w="1843" w:type="dxa"/>
            <w:tcBorders>
              <w:top w:val="nil"/>
              <w:left w:val="nil"/>
              <w:bottom w:val="single" w:color="auto" w:sz="4" w:space="0"/>
              <w:right w:val="single" w:color="auto" w:sz="4" w:space="0"/>
            </w:tcBorders>
            <w:shd w:val="clear" w:color="000000" w:fill="FFFFFF"/>
            <w:noWrap/>
            <w:vAlign w:val="center"/>
          </w:tcPr>
          <w:p w14:paraId="6FF3D30C">
            <w:pPr>
              <w:jc w:val="right"/>
              <w:rPr>
                <w:rFonts w:ascii="宋体" w:hAnsi="宋体" w:cs="宋体"/>
                <w:kern w:val="0"/>
                <w:sz w:val="18"/>
                <w:szCs w:val="18"/>
              </w:rPr>
            </w:pPr>
          </w:p>
        </w:tc>
      </w:tr>
      <w:tr w14:paraId="2838F597">
        <w:tblPrEx>
          <w:tblCellMar>
            <w:top w:w="0" w:type="dxa"/>
            <w:left w:w="108" w:type="dxa"/>
            <w:bottom w:w="0" w:type="dxa"/>
            <w:right w:w="108" w:type="dxa"/>
          </w:tblCellMar>
        </w:tblPrEx>
        <w:trPr>
          <w:trHeight w:val="342"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6E94EDD6">
            <w:pPr>
              <w:jc w:val="center"/>
              <w:rPr>
                <w:rFonts w:ascii="宋体" w:hAnsi="宋体" w:cs="宋体"/>
                <w:kern w:val="0"/>
                <w:sz w:val="18"/>
                <w:szCs w:val="18"/>
              </w:rPr>
            </w:pPr>
          </w:p>
        </w:tc>
        <w:tc>
          <w:tcPr>
            <w:tcW w:w="2648" w:type="dxa"/>
            <w:tcBorders>
              <w:top w:val="nil"/>
              <w:left w:val="nil"/>
              <w:bottom w:val="single" w:color="auto" w:sz="4" w:space="0"/>
              <w:right w:val="single" w:color="auto" w:sz="4" w:space="0"/>
            </w:tcBorders>
            <w:shd w:val="clear" w:color="000000" w:fill="FFFFFF"/>
            <w:vAlign w:val="center"/>
          </w:tcPr>
          <w:p w14:paraId="74DAE3C0">
            <w:pPr>
              <w:jc w:val="left"/>
              <w:rPr>
                <w:rFonts w:ascii="宋体" w:hAnsi="宋体" w:cs="宋体"/>
                <w:kern w:val="0"/>
                <w:sz w:val="18"/>
                <w:szCs w:val="18"/>
              </w:rPr>
            </w:pPr>
          </w:p>
        </w:tc>
        <w:tc>
          <w:tcPr>
            <w:tcW w:w="2551" w:type="dxa"/>
            <w:tcBorders>
              <w:top w:val="nil"/>
              <w:left w:val="nil"/>
              <w:bottom w:val="single" w:color="auto" w:sz="4" w:space="0"/>
              <w:right w:val="single" w:color="auto" w:sz="4" w:space="0"/>
            </w:tcBorders>
            <w:shd w:val="clear" w:color="000000" w:fill="FFFFFF"/>
            <w:vAlign w:val="center"/>
          </w:tcPr>
          <w:p w14:paraId="6445744B">
            <w:pPr>
              <w:jc w:val="left"/>
              <w:rPr>
                <w:rFonts w:ascii="宋体" w:hAnsi="宋体" w:cs="宋体"/>
                <w:kern w:val="0"/>
                <w:sz w:val="18"/>
                <w:szCs w:val="18"/>
              </w:rPr>
            </w:pPr>
          </w:p>
        </w:tc>
        <w:tc>
          <w:tcPr>
            <w:tcW w:w="1276" w:type="dxa"/>
            <w:tcBorders>
              <w:top w:val="nil"/>
              <w:left w:val="nil"/>
              <w:bottom w:val="single" w:color="auto" w:sz="4" w:space="0"/>
              <w:right w:val="single" w:color="auto" w:sz="4" w:space="0"/>
            </w:tcBorders>
            <w:shd w:val="clear" w:color="000000" w:fill="FFFFFF"/>
            <w:noWrap/>
            <w:vAlign w:val="center"/>
          </w:tcPr>
          <w:p w14:paraId="61D9CC51">
            <w:pPr>
              <w:jc w:val="right"/>
              <w:rPr>
                <w:rFonts w:ascii="宋体" w:hAnsi="宋体" w:cs="宋体"/>
                <w:kern w:val="0"/>
                <w:sz w:val="18"/>
                <w:szCs w:val="18"/>
              </w:rPr>
            </w:pPr>
          </w:p>
        </w:tc>
        <w:tc>
          <w:tcPr>
            <w:tcW w:w="1843" w:type="dxa"/>
            <w:tcBorders>
              <w:top w:val="nil"/>
              <w:left w:val="nil"/>
              <w:bottom w:val="single" w:color="auto" w:sz="4" w:space="0"/>
              <w:right w:val="single" w:color="auto" w:sz="4" w:space="0"/>
            </w:tcBorders>
            <w:shd w:val="clear" w:color="000000" w:fill="FFFFFF"/>
            <w:noWrap/>
            <w:vAlign w:val="center"/>
          </w:tcPr>
          <w:p w14:paraId="446B0F22">
            <w:pPr>
              <w:jc w:val="right"/>
              <w:rPr>
                <w:rFonts w:ascii="宋体" w:hAnsi="宋体" w:cs="宋体"/>
                <w:kern w:val="0"/>
                <w:sz w:val="18"/>
                <w:szCs w:val="18"/>
              </w:rPr>
            </w:pPr>
          </w:p>
        </w:tc>
      </w:tr>
      <w:tr w14:paraId="31086514">
        <w:tblPrEx>
          <w:tblCellMar>
            <w:top w:w="0" w:type="dxa"/>
            <w:left w:w="108" w:type="dxa"/>
            <w:bottom w:w="0" w:type="dxa"/>
            <w:right w:w="108" w:type="dxa"/>
          </w:tblCellMar>
        </w:tblPrEx>
        <w:trPr>
          <w:trHeight w:val="312" w:hRule="atLeast"/>
        </w:trPr>
        <w:tc>
          <w:tcPr>
            <w:tcW w:w="6961"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14:paraId="7D72A4FA">
            <w:pPr>
              <w:jc w:val="center"/>
              <w:rPr>
                <w:rFonts w:ascii="宋体" w:hAnsi="宋体" w:cs="宋体"/>
                <w:kern w:val="0"/>
                <w:sz w:val="18"/>
                <w:szCs w:val="18"/>
              </w:rPr>
            </w:pPr>
            <w:r>
              <w:rPr>
                <w:rFonts w:hint="eastAsia" w:ascii="宋体" w:hAnsi="宋体" w:cs="宋体"/>
                <w:kern w:val="0"/>
                <w:sz w:val="18"/>
                <w:szCs w:val="18"/>
              </w:rPr>
              <w:t xml:space="preserve">   合  计</w:t>
            </w:r>
          </w:p>
        </w:tc>
        <w:tc>
          <w:tcPr>
            <w:tcW w:w="1843" w:type="dxa"/>
            <w:tcBorders>
              <w:top w:val="nil"/>
              <w:left w:val="nil"/>
              <w:bottom w:val="single" w:color="auto" w:sz="4" w:space="0"/>
              <w:right w:val="single" w:color="auto" w:sz="4" w:space="0"/>
            </w:tcBorders>
            <w:shd w:val="clear" w:color="000000" w:fill="FFFFFF"/>
            <w:noWrap/>
            <w:vAlign w:val="center"/>
          </w:tcPr>
          <w:p w14:paraId="120AF96C">
            <w:pPr>
              <w:jc w:val="right"/>
              <w:rPr>
                <w:rFonts w:ascii="宋体" w:hAnsi="宋体" w:cs="宋体"/>
                <w:kern w:val="0"/>
                <w:sz w:val="18"/>
                <w:szCs w:val="18"/>
              </w:rPr>
            </w:pPr>
            <w:r>
              <w:rPr>
                <w:rFonts w:hint="eastAsia" w:ascii="宋体" w:hAnsi="宋体" w:cs="宋体"/>
                <w:kern w:val="0"/>
                <w:sz w:val="18"/>
                <w:szCs w:val="18"/>
              </w:rPr>
              <w:t xml:space="preserve"> </w:t>
            </w:r>
          </w:p>
        </w:tc>
      </w:tr>
    </w:tbl>
    <w:p w14:paraId="26B29292">
      <w:pPr>
        <w:pStyle w:val="4"/>
        <w:keepNext w:val="0"/>
        <w:keepLines w:val="0"/>
      </w:pPr>
      <w:r>
        <w:rPr>
          <w:rFonts w:hint="eastAsia"/>
        </w:rPr>
        <w:t>（十一）材料设备表</w:t>
      </w:r>
    </w:p>
    <w:p w14:paraId="4C92D367">
      <w:pPr>
        <w:spacing w:line="360" w:lineRule="auto"/>
        <w:rPr>
          <w:rFonts w:ascii="宋体" w:hAnsi="宋体"/>
          <w:b/>
          <w:bCs/>
          <w:szCs w:val="21"/>
        </w:rPr>
      </w:pPr>
      <w:r>
        <w:rPr>
          <w:rFonts w:hint="eastAsia" w:ascii="宋体" w:hAnsi="宋体"/>
          <w:szCs w:val="21"/>
        </w:rPr>
        <w:t>专业或专项工程名称：</w:t>
      </w:r>
    </w:p>
    <w:tbl>
      <w:tblPr>
        <w:tblStyle w:val="5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442"/>
        <w:gridCol w:w="1090"/>
        <w:gridCol w:w="992"/>
        <w:gridCol w:w="1560"/>
        <w:gridCol w:w="1134"/>
        <w:gridCol w:w="2126"/>
      </w:tblGrid>
      <w:tr w14:paraId="10D0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14:paraId="5D1F6100">
            <w:pPr>
              <w:jc w:val="center"/>
              <w:rPr>
                <w:rFonts w:ascii="宋体" w:hAnsi="宋体"/>
                <w:szCs w:val="21"/>
              </w:rPr>
            </w:pPr>
            <w:r>
              <w:rPr>
                <w:rFonts w:hint="eastAsia" w:ascii="宋体" w:hAnsi="宋体"/>
                <w:szCs w:val="21"/>
              </w:rPr>
              <w:t>序号</w:t>
            </w:r>
          </w:p>
        </w:tc>
        <w:tc>
          <w:tcPr>
            <w:tcW w:w="1442" w:type="dxa"/>
            <w:vAlign w:val="center"/>
          </w:tcPr>
          <w:p w14:paraId="3B2D1EE4">
            <w:pPr>
              <w:jc w:val="center"/>
              <w:rPr>
                <w:rFonts w:ascii="宋体" w:hAnsi="宋体"/>
                <w:szCs w:val="21"/>
              </w:rPr>
            </w:pPr>
            <w:r>
              <w:rPr>
                <w:rFonts w:hint="eastAsia" w:ascii="宋体" w:hAnsi="宋体"/>
                <w:szCs w:val="21"/>
              </w:rPr>
              <w:t>材料设备编码</w:t>
            </w:r>
          </w:p>
        </w:tc>
        <w:tc>
          <w:tcPr>
            <w:tcW w:w="1090" w:type="dxa"/>
            <w:vAlign w:val="center"/>
          </w:tcPr>
          <w:p w14:paraId="53D6F768">
            <w:pPr>
              <w:pStyle w:val="37"/>
              <w:pBdr>
                <w:bottom w:val="none" w:color="auto" w:sz="0" w:space="0"/>
              </w:pBdr>
              <w:tabs>
                <w:tab w:val="clear" w:pos="4153"/>
                <w:tab w:val="clear" w:pos="8306"/>
              </w:tabs>
              <w:snapToGrid/>
              <w:rPr>
                <w:rFonts w:ascii="宋体" w:hAnsi="宋体"/>
                <w:sz w:val="21"/>
                <w:szCs w:val="21"/>
              </w:rPr>
            </w:pPr>
            <w:r>
              <w:rPr>
                <w:rFonts w:hint="eastAsia" w:ascii="宋体" w:hAnsi="宋体"/>
                <w:szCs w:val="21"/>
              </w:rPr>
              <w:t>设备（材料）名称</w:t>
            </w:r>
          </w:p>
        </w:tc>
        <w:tc>
          <w:tcPr>
            <w:tcW w:w="992" w:type="dxa"/>
            <w:vAlign w:val="center"/>
          </w:tcPr>
          <w:p w14:paraId="503CE7A5">
            <w:pPr>
              <w:jc w:val="center"/>
              <w:rPr>
                <w:rFonts w:ascii="宋体" w:hAnsi="宋体"/>
                <w:szCs w:val="21"/>
              </w:rPr>
            </w:pPr>
            <w:r>
              <w:rPr>
                <w:rFonts w:hint="eastAsia" w:ascii="宋体" w:hAnsi="宋体"/>
                <w:szCs w:val="21"/>
              </w:rPr>
              <w:t>品牌</w:t>
            </w:r>
          </w:p>
        </w:tc>
        <w:tc>
          <w:tcPr>
            <w:tcW w:w="1560" w:type="dxa"/>
            <w:vAlign w:val="center"/>
          </w:tcPr>
          <w:p w14:paraId="1122B403">
            <w:pPr>
              <w:jc w:val="center"/>
              <w:rPr>
                <w:rFonts w:ascii="宋体" w:hAnsi="宋体"/>
                <w:szCs w:val="21"/>
              </w:rPr>
            </w:pPr>
            <w:r>
              <w:rPr>
                <w:rFonts w:hint="eastAsia" w:ascii="宋体" w:hAnsi="宋体"/>
                <w:szCs w:val="21"/>
              </w:rPr>
              <w:t>规格/型号等</w:t>
            </w:r>
          </w:p>
        </w:tc>
        <w:tc>
          <w:tcPr>
            <w:tcW w:w="1134" w:type="dxa"/>
            <w:vAlign w:val="center"/>
          </w:tcPr>
          <w:p w14:paraId="517856E1">
            <w:pPr>
              <w:pStyle w:val="37"/>
              <w:pBdr>
                <w:bottom w:val="none" w:color="auto" w:sz="0" w:space="0"/>
              </w:pBdr>
              <w:tabs>
                <w:tab w:val="clear" w:pos="4153"/>
                <w:tab w:val="clear" w:pos="8306"/>
              </w:tabs>
              <w:snapToGrid/>
              <w:rPr>
                <w:rFonts w:ascii="宋体" w:hAnsi="宋体"/>
                <w:sz w:val="21"/>
                <w:szCs w:val="21"/>
              </w:rPr>
            </w:pPr>
            <w:r>
              <w:rPr>
                <w:rFonts w:hint="eastAsia" w:ascii="宋体" w:hAnsi="宋体"/>
                <w:sz w:val="21"/>
                <w:szCs w:val="21"/>
              </w:rPr>
              <w:t>单位</w:t>
            </w:r>
          </w:p>
        </w:tc>
        <w:tc>
          <w:tcPr>
            <w:tcW w:w="2126" w:type="dxa"/>
            <w:vAlign w:val="center"/>
          </w:tcPr>
          <w:p w14:paraId="1A3DF565">
            <w:pPr>
              <w:jc w:val="center"/>
              <w:rPr>
                <w:rFonts w:ascii="宋体" w:hAnsi="宋体"/>
                <w:szCs w:val="21"/>
              </w:rPr>
            </w:pPr>
            <w:r>
              <w:rPr>
                <w:rFonts w:hint="eastAsia" w:ascii="宋体" w:hAnsi="宋体"/>
                <w:szCs w:val="21"/>
              </w:rPr>
              <w:t>材料设备单价（元）</w:t>
            </w:r>
          </w:p>
        </w:tc>
      </w:tr>
      <w:tr w14:paraId="1BDE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13AA55B2">
            <w:pPr>
              <w:jc w:val="center"/>
              <w:rPr>
                <w:rFonts w:ascii="宋体" w:hAnsi="宋体"/>
                <w:szCs w:val="21"/>
              </w:rPr>
            </w:pPr>
          </w:p>
        </w:tc>
        <w:tc>
          <w:tcPr>
            <w:tcW w:w="1442" w:type="dxa"/>
          </w:tcPr>
          <w:p w14:paraId="12FDDF90">
            <w:pPr>
              <w:jc w:val="center"/>
              <w:rPr>
                <w:rFonts w:ascii="宋体" w:hAnsi="宋体"/>
                <w:szCs w:val="21"/>
              </w:rPr>
            </w:pPr>
          </w:p>
        </w:tc>
        <w:tc>
          <w:tcPr>
            <w:tcW w:w="1090" w:type="dxa"/>
          </w:tcPr>
          <w:p w14:paraId="0706D9B4">
            <w:pPr>
              <w:jc w:val="center"/>
              <w:rPr>
                <w:rFonts w:ascii="宋体" w:hAnsi="宋体"/>
                <w:szCs w:val="21"/>
              </w:rPr>
            </w:pPr>
          </w:p>
        </w:tc>
        <w:tc>
          <w:tcPr>
            <w:tcW w:w="992" w:type="dxa"/>
          </w:tcPr>
          <w:p w14:paraId="45448EA1">
            <w:pPr>
              <w:jc w:val="center"/>
              <w:rPr>
                <w:rFonts w:ascii="宋体" w:hAnsi="宋体"/>
                <w:szCs w:val="21"/>
              </w:rPr>
            </w:pPr>
          </w:p>
        </w:tc>
        <w:tc>
          <w:tcPr>
            <w:tcW w:w="1560" w:type="dxa"/>
          </w:tcPr>
          <w:p w14:paraId="78071724">
            <w:pPr>
              <w:jc w:val="center"/>
              <w:rPr>
                <w:rFonts w:ascii="宋体" w:hAnsi="宋体"/>
                <w:szCs w:val="21"/>
              </w:rPr>
            </w:pPr>
          </w:p>
        </w:tc>
        <w:tc>
          <w:tcPr>
            <w:tcW w:w="1134" w:type="dxa"/>
          </w:tcPr>
          <w:p w14:paraId="383D26A1">
            <w:pPr>
              <w:jc w:val="center"/>
              <w:rPr>
                <w:rFonts w:ascii="宋体" w:hAnsi="宋体"/>
                <w:szCs w:val="21"/>
              </w:rPr>
            </w:pPr>
          </w:p>
        </w:tc>
        <w:tc>
          <w:tcPr>
            <w:tcW w:w="2126" w:type="dxa"/>
          </w:tcPr>
          <w:p w14:paraId="5DC56E2B">
            <w:pPr>
              <w:jc w:val="center"/>
              <w:rPr>
                <w:rFonts w:ascii="宋体" w:hAnsi="宋体"/>
                <w:szCs w:val="21"/>
              </w:rPr>
            </w:pPr>
          </w:p>
        </w:tc>
      </w:tr>
      <w:tr w14:paraId="7702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5BEF9B57">
            <w:pPr>
              <w:jc w:val="center"/>
              <w:rPr>
                <w:rFonts w:ascii="宋体" w:hAnsi="宋体"/>
                <w:szCs w:val="21"/>
              </w:rPr>
            </w:pPr>
          </w:p>
        </w:tc>
        <w:tc>
          <w:tcPr>
            <w:tcW w:w="1442" w:type="dxa"/>
          </w:tcPr>
          <w:p w14:paraId="2866FAB0">
            <w:pPr>
              <w:jc w:val="center"/>
              <w:rPr>
                <w:rFonts w:ascii="宋体" w:hAnsi="宋体"/>
                <w:szCs w:val="21"/>
              </w:rPr>
            </w:pPr>
          </w:p>
        </w:tc>
        <w:tc>
          <w:tcPr>
            <w:tcW w:w="1090" w:type="dxa"/>
          </w:tcPr>
          <w:p w14:paraId="778CEB27">
            <w:pPr>
              <w:jc w:val="center"/>
              <w:rPr>
                <w:rFonts w:ascii="宋体" w:hAnsi="宋体"/>
                <w:szCs w:val="21"/>
              </w:rPr>
            </w:pPr>
          </w:p>
        </w:tc>
        <w:tc>
          <w:tcPr>
            <w:tcW w:w="992" w:type="dxa"/>
          </w:tcPr>
          <w:p w14:paraId="603966E4">
            <w:pPr>
              <w:jc w:val="center"/>
              <w:rPr>
                <w:rFonts w:ascii="宋体" w:hAnsi="宋体"/>
                <w:szCs w:val="21"/>
              </w:rPr>
            </w:pPr>
          </w:p>
        </w:tc>
        <w:tc>
          <w:tcPr>
            <w:tcW w:w="1560" w:type="dxa"/>
          </w:tcPr>
          <w:p w14:paraId="057C07CB">
            <w:pPr>
              <w:jc w:val="center"/>
              <w:rPr>
                <w:rFonts w:ascii="宋体" w:hAnsi="宋体"/>
                <w:szCs w:val="21"/>
              </w:rPr>
            </w:pPr>
          </w:p>
        </w:tc>
        <w:tc>
          <w:tcPr>
            <w:tcW w:w="1134" w:type="dxa"/>
          </w:tcPr>
          <w:p w14:paraId="2D47FC8B">
            <w:pPr>
              <w:jc w:val="center"/>
              <w:rPr>
                <w:rFonts w:ascii="宋体" w:hAnsi="宋体"/>
                <w:szCs w:val="21"/>
              </w:rPr>
            </w:pPr>
          </w:p>
        </w:tc>
        <w:tc>
          <w:tcPr>
            <w:tcW w:w="2126" w:type="dxa"/>
          </w:tcPr>
          <w:p w14:paraId="18B8C36B">
            <w:pPr>
              <w:jc w:val="center"/>
              <w:rPr>
                <w:rFonts w:ascii="宋体" w:hAnsi="宋体"/>
                <w:szCs w:val="21"/>
              </w:rPr>
            </w:pPr>
          </w:p>
        </w:tc>
      </w:tr>
      <w:tr w14:paraId="790D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48A74C7B">
            <w:pPr>
              <w:jc w:val="center"/>
              <w:rPr>
                <w:rFonts w:ascii="宋体" w:hAnsi="宋体"/>
                <w:szCs w:val="21"/>
              </w:rPr>
            </w:pPr>
          </w:p>
        </w:tc>
        <w:tc>
          <w:tcPr>
            <w:tcW w:w="1442" w:type="dxa"/>
          </w:tcPr>
          <w:p w14:paraId="4F496803">
            <w:pPr>
              <w:jc w:val="center"/>
              <w:rPr>
                <w:rFonts w:ascii="宋体" w:hAnsi="宋体"/>
                <w:szCs w:val="21"/>
              </w:rPr>
            </w:pPr>
          </w:p>
        </w:tc>
        <w:tc>
          <w:tcPr>
            <w:tcW w:w="1090" w:type="dxa"/>
          </w:tcPr>
          <w:p w14:paraId="122ED0B2">
            <w:pPr>
              <w:jc w:val="center"/>
              <w:rPr>
                <w:rFonts w:ascii="宋体" w:hAnsi="宋体"/>
                <w:szCs w:val="21"/>
              </w:rPr>
            </w:pPr>
          </w:p>
        </w:tc>
        <w:tc>
          <w:tcPr>
            <w:tcW w:w="992" w:type="dxa"/>
          </w:tcPr>
          <w:p w14:paraId="1B5A8210">
            <w:pPr>
              <w:jc w:val="center"/>
              <w:rPr>
                <w:rFonts w:ascii="宋体" w:hAnsi="宋体"/>
                <w:szCs w:val="21"/>
              </w:rPr>
            </w:pPr>
          </w:p>
        </w:tc>
        <w:tc>
          <w:tcPr>
            <w:tcW w:w="1560" w:type="dxa"/>
          </w:tcPr>
          <w:p w14:paraId="1C51A749">
            <w:pPr>
              <w:jc w:val="center"/>
              <w:rPr>
                <w:rFonts w:ascii="宋体" w:hAnsi="宋体"/>
                <w:szCs w:val="21"/>
              </w:rPr>
            </w:pPr>
          </w:p>
        </w:tc>
        <w:tc>
          <w:tcPr>
            <w:tcW w:w="1134" w:type="dxa"/>
          </w:tcPr>
          <w:p w14:paraId="70E6175E">
            <w:pPr>
              <w:jc w:val="center"/>
              <w:rPr>
                <w:rFonts w:ascii="宋体" w:hAnsi="宋体"/>
                <w:szCs w:val="21"/>
              </w:rPr>
            </w:pPr>
          </w:p>
        </w:tc>
        <w:tc>
          <w:tcPr>
            <w:tcW w:w="2126" w:type="dxa"/>
          </w:tcPr>
          <w:p w14:paraId="64DA8DD8">
            <w:pPr>
              <w:jc w:val="center"/>
              <w:rPr>
                <w:rFonts w:ascii="宋体" w:hAnsi="宋体"/>
                <w:szCs w:val="21"/>
              </w:rPr>
            </w:pPr>
          </w:p>
        </w:tc>
      </w:tr>
    </w:tbl>
    <w:p w14:paraId="357DCDFC">
      <w:pPr>
        <w:spacing w:line="360" w:lineRule="auto"/>
        <w:rPr>
          <w:rFonts w:ascii="宋体" w:hAnsi="宋体"/>
          <w:szCs w:val="21"/>
        </w:rPr>
      </w:pPr>
    </w:p>
    <w:p w14:paraId="59C54D64">
      <w:pPr>
        <w:spacing w:line="360" w:lineRule="auto"/>
        <w:jc w:val="center"/>
        <w:rPr>
          <w:rFonts w:hint="eastAsia" w:ascii="黑体" w:hAnsi="宋体" w:eastAsia="黑体"/>
          <w:bCs/>
          <w:kern w:val="0"/>
          <w:sz w:val="24"/>
        </w:rPr>
      </w:pPr>
      <w:r>
        <w:rPr>
          <w:rFonts w:hint="eastAsia" w:ascii="黑体" w:hAnsi="宋体" w:eastAsia="黑体"/>
          <w:bCs/>
          <w:kern w:val="0"/>
          <w:sz w:val="24"/>
        </w:rPr>
        <w:t>十、项目总体概述及理解</w:t>
      </w:r>
    </w:p>
    <w:p w14:paraId="60F16982">
      <w:pPr>
        <w:spacing w:line="360" w:lineRule="auto"/>
        <w:jc w:val="center"/>
        <w:rPr>
          <w:rFonts w:hint="eastAsia" w:ascii="黑体" w:hAnsi="宋体" w:eastAsia="黑体"/>
          <w:bCs/>
          <w:kern w:val="0"/>
          <w:sz w:val="24"/>
        </w:rPr>
      </w:pPr>
      <w:r>
        <w:rPr>
          <w:rFonts w:hint="eastAsia" w:ascii="黑体" w:hAnsi="宋体" w:eastAsia="黑体"/>
          <w:bCs/>
          <w:kern w:val="0"/>
          <w:sz w:val="24"/>
          <w:lang w:val="en-US" w:eastAsia="zh-CN"/>
        </w:rPr>
        <w:t>十一</w:t>
      </w:r>
      <w:r>
        <w:rPr>
          <w:rFonts w:hint="eastAsia" w:ascii="黑体" w:hAnsi="宋体" w:eastAsia="黑体"/>
          <w:bCs/>
          <w:kern w:val="0"/>
          <w:sz w:val="24"/>
        </w:rPr>
        <w:t>、施工组织计划、施工技术及施工工艺</w:t>
      </w:r>
    </w:p>
    <w:p w14:paraId="090B0BDD">
      <w:pPr>
        <w:spacing w:line="360" w:lineRule="auto"/>
        <w:jc w:val="center"/>
        <w:rPr>
          <w:rFonts w:hint="eastAsia" w:ascii="黑体" w:hAnsi="宋体" w:eastAsia="黑体"/>
          <w:bCs/>
          <w:kern w:val="0"/>
          <w:sz w:val="24"/>
        </w:rPr>
      </w:pPr>
      <w:r>
        <w:rPr>
          <w:rFonts w:hint="eastAsia" w:ascii="黑体" w:hAnsi="宋体" w:eastAsia="黑体"/>
          <w:bCs/>
          <w:kern w:val="0"/>
          <w:sz w:val="24"/>
          <w:lang w:val="en-US" w:eastAsia="zh-CN"/>
        </w:rPr>
        <w:t>十二</w:t>
      </w:r>
      <w:r>
        <w:rPr>
          <w:rFonts w:hint="eastAsia" w:ascii="黑体" w:hAnsi="宋体" w:eastAsia="黑体"/>
          <w:bCs/>
          <w:kern w:val="0"/>
          <w:sz w:val="24"/>
        </w:rPr>
        <w:t>、项目实施关键施工技术（重点难点）分析及解决方案</w:t>
      </w:r>
    </w:p>
    <w:p w14:paraId="0B561FCD">
      <w:pPr>
        <w:spacing w:line="360" w:lineRule="auto"/>
        <w:jc w:val="center"/>
        <w:rPr>
          <w:rFonts w:hint="eastAsia" w:ascii="黑体" w:hAnsi="宋体" w:eastAsia="黑体"/>
          <w:bCs/>
          <w:kern w:val="0"/>
          <w:sz w:val="24"/>
        </w:rPr>
      </w:pPr>
      <w:r>
        <w:rPr>
          <w:rFonts w:hint="eastAsia" w:ascii="黑体" w:hAnsi="宋体" w:eastAsia="黑体"/>
          <w:bCs/>
          <w:kern w:val="0"/>
          <w:sz w:val="24"/>
          <w:lang w:val="en-US" w:eastAsia="zh-CN"/>
        </w:rPr>
        <w:t>十三</w:t>
      </w:r>
      <w:r>
        <w:rPr>
          <w:rFonts w:hint="eastAsia" w:ascii="黑体" w:hAnsi="宋体" w:eastAsia="黑体"/>
          <w:bCs/>
          <w:kern w:val="0"/>
          <w:sz w:val="24"/>
        </w:rPr>
        <w:t>、拟采用设备（材料）的性能（节能环保情况）、档次及质量可靠性</w:t>
      </w:r>
    </w:p>
    <w:p w14:paraId="56D8F52B">
      <w:pPr>
        <w:spacing w:line="360" w:lineRule="auto"/>
        <w:jc w:val="center"/>
        <w:rPr>
          <w:rFonts w:hint="eastAsia" w:ascii="黑体" w:hAnsi="宋体" w:eastAsia="黑体"/>
          <w:bCs/>
          <w:kern w:val="0"/>
          <w:sz w:val="24"/>
        </w:rPr>
      </w:pPr>
      <w:r>
        <w:rPr>
          <w:rFonts w:hint="eastAsia" w:ascii="黑体" w:hAnsi="宋体" w:eastAsia="黑体"/>
          <w:bCs/>
          <w:kern w:val="0"/>
          <w:sz w:val="24"/>
          <w:lang w:val="en-US" w:eastAsia="zh-CN"/>
        </w:rPr>
        <w:t>十四</w:t>
      </w:r>
      <w:r>
        <w:rPr>
          <w:rFonts w:hint="eastAsia" w:ascii="黑体" w:hAnsi="宋体" w:eastAsia="黑体"/>
          <w:bCs/>
          <w:kern w:val="0"/>
          <w:sz w:val="24"/>
        </w:rPr>
        <w:t>、施工质量（安全、环保、工期）保障措施、售后服务及违约承诺</w:t>
      </w:r>
    </w:p>
    <w:p w14:paraId="06C166DE">
      <w:pPr>
        <w:spacing w:line="360" w:lineRule="auto"/>
        <w:jc w:val="center"/>
        <w:rPr>
          <w:rFonts w:hint="eastAsia" w:ascii="黑体" w:hAnsi="宋体" w:eastAsia="黑体"/>
          <w:bCs/>
          <w:kern w:val="0"/>
          <w:sz w:val="24"/>
        </w:rPr>
      </w:pPr>
      <w:r>
        <w:rPr>
          <w:rFonts w:hint="eastAsia" w:ascii="黑体" w:hAnsi="宋体" w:eastAsia="黑体"/>
          <w:bCs/>
          <w:kern w:val="0"/>
          <w:sz w:val="24"/>
          <w:lang w:val="en-US" w:eastAsia="zh-CN"/>
        </w:rPr>
        <w:t>十五</w:t>
      </w:r>
      <w:r>
        <w:rPr>
          <w:rFonts w:hint="eastAsia" w:ascii="黑体" w:hAnsi="宋体" w:eastAsia="黑体"/>
          <w:bCs/>
          <w:kern w:val="0"/>
          <w:sz w:val="24"/>
        </w:rPr>
        <w:t>、投标人同类项目业绩情况</w:t>
      </w:r>
    </w:p>
    <w:p w14:paraId="7E54FDA8">
      <w:pPr>
        <w:spacing w:line="360" w:lineRule="auto"/>
        <w:jc w:val="center"/>
        <w:rPr>
          <w:rFonts w:hint="eastAsia" w:ascii="黑体" w:hAnsi="宋体" w:eastAsia="黑体"/>
          <w:bCs/>
          <w:kern w:val="0"/>
          <w:sz w:val="24"/>
        </w:rPr>
      </w:pPr>
      <w:r>
        <w:rPr>
          <w:rFonts w:hint="eastAsia" w:ascii="黑体" w:hAnsi="宋体" w:eastAsia="黑体"/>
          <w:bCs/>
          <w:kern w:val="0"/>
          <w:sz w:val="24"/>
          <w:lang w:val="en-US" w:eastAsia="zh-CN"/>
        </w:rPr>
        <w:t>十六</w:t>
      </w:r>
      <w:r>
        <w:rPr>
          <w:rFonts w:hint="eastAsia" w:ascii="黑体" w:hAnsi="宋体" w:eastAsia="黑体"/>
          <w:bCs/>
          <w:kern w:val="0"/>
          <w:sz w:val="24"/>
        </w:rPr>
        <w:t>、服务网点</w:t>
      </w:r>
    </w:p>
    <w:p w14:paraId="5BCD974E">
      <w:pPr>
        <w:spacing w:line="360" w:lineRule="auto"/>
        <w:jc w:val="center"/>
        <w:rPr>
          <w:rFonts w:ascii="黑体" w:hAnsi="宋体" w:eastAsia="黑体"/>
          <w:bCs/>
          <w:kern w:val="0"/>
          <w:sz w:val="24"/>
        </w:rPr>
      </w:pPr>
      <w:r>
        <w:rPr>
          <w:rFonts w:hint="eastAsia" w:ascii="黑体" w:hAnsi="宋体" w:eastAsia="黑体"/>
          <w:bCs/>
          <w:kern w:val="0"/>
          <w:sz w:val="24"/>
          <w:lang w:val="en-US" w:eastAsia="zh-CN"/>
        </w:rPr>
        <w:t>十七</w:t>
      </w:r>
      <w:r>
        <w:rPr>
          <w:rFonts w:hint="eastAsia" w:ascii="黑体" w:hAnsi="宋体" w:eastAsia="黑体"/>
          <w:bCs/>
          <w:kern w:val="0"/>
          <w:sz w:val="24"/>
        </w:rPr>
        <w:t>、诚信评审</w:t>
      </w:r>
    </w:p>
    <w:p w14:paraId="4A580014">
      <w:pPr>
        <w:spacing w:line="360" w:lineRule="auto"/>
        <w:jc w:val="center"/>
      </w:pPr>
      <w:r>
        <w:rPr>
          <w:rFonts w:hint="eastAsia" w:ascii="黑体" w:hAnsi="宋体" w:eastAsia="黑体"/>
          <w:bCs/>
          <w:kern w:val="0"/>
          <w:sz w:val="24"/>
          <w:lang w:val="en-US" w:eastAsia="zh-CN"/>
        </w:rPr>
        <w:t>十八</w:t>
      </w:r>
      <w:r>
        <w:rPr>
          <w:rFonts w:hint="eastAsia" w:ascii="黑体" w:hAnsi="宋体" w:eastAsia="黑体"/>
          <w:bCs/>
          <w:kern w:val="0"/>
          <w:sz w:val="24"/>
        </w:rPr>
        <w:t>、招标文件要求的其它内容或投标人认为需要补充的资料（格式自定）</w:t>
      </w:r>
    </w:p>
    <w:p w14:paraId="5F977BFC">
      <w:pPr>
        <w:rPr>
          <w:b/>
          <w:bCs/>
        </w:rPr>
      </w:pPr>
      <w:r>
        <w:rPr>
          <w:rFonts w:hint="eastAsia"/>
          <w:b/>
          <w:bCs/>
        </w:rPr>
        <w:br w:type="page"/>
      </w:r>
    </w:p>
    <w:p w14:paraId="5CD232E3">
      <w:pPr>
        <w:pStyle w:val="5"/>
        <w:tabs>
          <w:tab w:val="center" w:pos="4156"/>
        </w:tabs>
        <w:rPr>
          <w:kern w:val="2"/>
        </w:rPr>
      </w:pPr>
      <w:r>
        <w:rPr>
          <w:rFonts w:hint="eastAsia"/>
          <w:b/>
          <w:bCs/>
          <w:kern w:val="2"/>
        </w:rPr>
        <w:t>第四章  合同及履约情况反馈格式</w:t>
      </w:r>
    </w:p>
    <w:p w14:paraId="3C00410B">
      <w:pPr>
        <w:pStyle w:val="3"/>
        <w:jc w:val="center"/>
        <w:rPr>
          <w:rFonts w:ascii="黑体" w:eastAsia="黑体"/>
          <w:b w:val="0"/>
          <w:kern w:val="0"/>
          <w:sz w:val="24"/>
          <w:szCs w:val="24"/>
        </w:rPr>
      </w:pPr>
    </w:p>
    <w:p w14:paraId="35946059">
      <w:pPr>
        <w:pStyle w:val="3"/>
        <w:jc w:val="center"/>
        <w:rPr>
          <w:rFonts w:ascii="黑体" w:eastAsia="黑体"/>
          <w:b w:val="0"/>
          <w:kern w:val="0"/>
          <w:sz w:val="24"/>
          <w:szCs w:val="24"/>
        </w:rPr>
      </w:pPr>
      <w:r>
        <w:rPr>
          <w:rFonts w:hint="eastAsia" w:ascii="黑体" w:eastAsia="黑体"/>
          <w:b w:val="0"/>
          <w:kern w:val="0"/>
          <w:sz w:val="24"/>
          <w:szCs w:val="24"/>
        </w:rPr>
        <w:t>一、拟签订的合同条款及格式（参考备用）</w:t>
      </w:r>
    </w:p>
    <w:p w14:paraId="2218A5D4">
      <w:pPr>
        <w:widowControl/>
        <w:spacing w:line="360" w:lineRule="auto"/>
        <w:ind w:right="625"/>
        <w:jc w:val="left"/>
        <w:rPr>
          <w:rFonts w:ascii="宋体"/>
          <w:kern w:val="0"/>
          <w:sz w:val="25"/>
          <w:szCs w:val="25"/>
        </w:rPr>
      </w:pPr>
      <w:r>
        <w:rPr>
          <w:rFonts w:hint="eastAsia" w:ascii="宋体" w:hAnsi="宋体"/>
          <w:kern w:val="0"/>
          <w:sz w:val="25"/>
          <w:szCs w:val="25"/>
        </w:rPr>
        <w:t>工程编号：</w:t>
      </w:r>
    </w:p>
    <w:p w14:paraId="33679C13">
      <w:pPr>
        <w:widowControl/>
        <w:spacing w:line="360" w:lineRule="auto"/>
        <w:ind w:right="625"/>
        <w:jc w:val="left"/>
        <w:rPr>
          <w:rFonts w:ascii="仿宋_GB2312" w:eastAsia="仿宋_GB2312"/>
          <w:b/>
          <w:bCs/>
          <w:kern w:val="0"/>
          <w:sz w:val="36"/>
          <w:szCs w:val="36"/>
        </w:rPr>
      </w:pPr>
      <w:r>
        <w:rPr>
          <w:rFonts w:hint="eastAsia" w:ascii="宋体" w:hAnsi="宋体"/>
          <w:kern w:val="0"/>
          <w:sz w:val="25"/>
          <w:szCs w:val="25"/>
        </w:rPr>
        <w:t>合同编号：</w:t>
      </w:r>
    </w:p>
    <w:p w14:paraId="337D4134">
      <w:pPr>
        <w:widowControl/>
        <w:spacing w:line="360" w:lineRule="auto"/>
        <w:jc w:val="center"/>
        <w:rPr>
          <w:rFonts w:ascii="仿宋_GB2312" w:eastAsia="仿宋_GB2312"/>
          <w:b/>
          <w:bCs/>
          <w:kern w:val="0"/>
          <w:sz w:val="36"/>
          <w:szCs w:val="36"/>
        </w:rPr>
      </w:pPr>
    </w:p>
    <w:p w14:paraId="740D707F">
      <w:pPr>
        <w:widowControl/>
        <w:spacing w:line="360" w:lineRule="auto"/>
        <w:outlineLvl w:val="0"/>
        <w:rPr>
          <w:rFonts w:ascii="仿宋_GB2312" w:eastAsia="仿宋_GB2312"/>
          <w:b/>
          <w:bCs/>
          <w:kern w:val="36"/>
          <w:sz w:val="44"/>
          <w:szCs w:val="44"/>
          <w:u w:val="single"/>
        </w:rPr>
      </w:pPr>
    </w:p>
    <w:p w14:paraId="711C9BD3">
      <w:pPr>
        <w:widowControl/>
        <w:spacing w:line="360" w:lineRule="auto"/>
        <w:jc w:val="center"/>
        <w:rPr>
          <w:rFonts w:ascii="仿宋_GB2312" w:eastAsia="仿宋_GB2312"/>
          <w:b/>
          <w:bCs/>
          <w:kern w:val="0"/>
          <w:sz w:val="52"/>
          <w:szCs w:val="44"/>
        </w:rPr>
      </w:pPr>
      <w:bookmarkStart w:id="12" w:name="_Toc306782696"/>
      <w:bookmarkEnd w:id="12"/>
      <w:r>
        <w:rPr>
          <w:rFonts w:hint="eastAsia" w:ascii="仿宋_GB2312" w:eastAsia="仿宋_GB2312"/>
          <w:b/>
          <w:bCs/>
          <w:kern w:val="0"/>
          <w:sz w:val="52"/>
          <w:szCs w:val="44"/>
        </w:rPr>
        <w:t>建设工程施工</w:t>
      </w:r>
      <w:bookmarkStart w:id="13" w:name="_Toc306782697"/>
      <w:bookmarkEnd w:id="13"/>
      <w:r>
        <w:rPr>
          <w:rFonts w:hint="eastAsia" w:ascii="仿宋_GB2312" w:eastAsia="仿宋_GB2312"/>
          <w:b/>
          <w:bCs/>
          <w:kern w:val="0"/>
          <w:sz w:val="52"/>
          <w:szCs w:val="44"/>
        </w:rPr>
        <w:t>合同</w:t>
      </w:r>
    </w:p>
    <w:p w14:paraId="6D450CF6">
      <w:pPr>
        <w:widowControl/>
        <w:spacing w:line="360" w:lineRule="auto"/>
        <w:jc w:val="center"/>
        <w:rPr>
          <w:rFonts w:ascii="仿宋_GB2312" w:eastAsia="仿宋_GB2312"/>
          <w:b/>
          <w:bCs/>
          <w:kern w:val="0"/>
          <w:sz w:val="52"/>
          <w:szCs w:val="44"/>
        </w:rPr>
      </w:pPr>
    </w:p>
    <w:p w14:paraId="571BBBD6">
      <w:pPr>
        <w:widowControl/>
        <w:spacing w:line="360" w:lineRule="auto"/>
        <w:jc w:val="center"/>
        <w:rPr>
          <w:rFonts w:ascii="仿宋_GB2312" w:eastAsia="仿宋_GB2312"/>
          <w:b/>
          <w:bCs/>
          <w:kern w:val="0"/>
          <w:sz w:val="36"/>
          <w:szCs w:val="36"/>
        </w:rPr>
      </w:pPr>
    </w:p>
    <w:p w14:paraId="038A63AA">
      <w:pPr>
        <w:widowControl/>
        <w:spacing w:line="360" w:lineRule="auto"/>
        <w:jc w:val="center"/>
        <w:rPr>
          <w:rFonts w:ascii="仿宋_GB2312" w:eastAsia="仿宋_GB2312"/>
          <w:b/>
          <w:bCs/>
          <w:kern w:val="0"/>
          <w:sz w:val="36"/>
          <w:szCs w:val="36"/>
        </w:rPr>
      </w:pPr>
    </w:p>
    <w:p w14:paraId="2E7F173A">
      <w:pPr>
        <w:widowControl/>
        <w:spacing w:line="360" w:lineRule="auto"/>
        <w:jc w:val="center"/>
        <w:rPr>
          <w:rFonts w:ascii="仿宋_GB2312" w:eastAsia="仿宋_GB2312"/>
          <w:b/>
          <w:bCs/>
          <w:kern w:val="0"/>
          <w:sz w:val="36"/>
          <w:szCs w:val="36"/>
        </w:rPr>
      </w:pPr>
    </w:p>
    <w:p w14:paraId="15CACBF0">
      <w:pPr>
        <w:widowControl/>
        <w:spacing w:line="360" w:lineRule="auto"/>
        <w:jc w:val="center"/>
        <w:rPr>
          <w:rFonts w:ascii="仿宋_GB2312" w:eastAsia="仿宋_GB2312"/>
          <w:b/>
          <w:bCs/>
          <w:kern w:val="0"/>
          <w:sz w:val="36"/>
          <w:szCs w:val="36"/>
        </w:rPr>
      </w:pPr>
    </w:p>
    <w:p w14:paraId="7FFAA264">
      <w:pPr>
        <w:widowControl/>
        <w:spacing w:line="360" w:lineRule="auto"/>
        <w:jc w:val="center"/>
        <w:rPr>
          <w:rFonts w:ascii="仿宋_GB2312" w:eastAsia="仿宋_GB2312"/>
          <w:b/>
          <w:bCs/>
          <w:kern w:val="0"/>
          <w:sz w:val="36"/>
          <w:szCs w:val="36"/>
        </w:rPr>
      </w:pPr>
      <w:bookmarkStart w:id="14" w:name="_Toc306782698"/>
      <w:bookmarkEnd w:id="14"/>
    </w:p>
    <w:p w14:paraId="299073AE">
      <w:pPr>
        <w:widowControl/>
        <w:spacing w:line="360" w:lineRule="auto"/>
        <w:ind w:firstLine="1430" w:firstLineChars="445"/>
        <w:jc w:val="left"/>
        <w:rPr>
          <w:rFonts w:ascii="仿宋_GB2312" w:eastAsia="仿宋_GB2312"/>
          <w:b/>
          <w:bCs/>
          <w:kern w:val="0"/>
          <w:sz w:val="32"/>
          <w:szCs w:val="32"/>
          <w:u w:val="single"/>
        </w:rPr>
      </w:pPr>
      <w:r>
        <w:rPr>
          <w:rFonts w:hint="eastAsia" w:ascii="仿宋_GB2312" w:eastAsia="仿宋_GB2312"/>
          <w:b/>
          <w:bCs/>
          <w:kern w:val="0"/>
          <w:sz w:val="32"/>
          <w:szCs w:val="32"/>
        </w:rPr>
        <w:t>甲    方：</w:t>
      </w:r>
      <w:bookmarkStart w:id="15" w:name="_Toc306782699"/>
      <w:bookmarkEnd w:id="15"/>
    </w:p>
    <w:p w14:paraId="431A6153">
      <w:pPr>
        <w:widowControl/>
        <w:spacing w:line="360" w:lineRule="auto"/>
        <w:ind w:firstLine="1430" w:firstLineChars="445"/>
        <w:jc w:val="left"/>
        <w:rPr>
          <w:rFonts w:ascii="仿宋_GB2312" w:eastAsia="仿宋_GB2312"/>
          <w:b/>
          <w:bCs/>
          <w:kern w:val="0"/>
          <w:sz w:val="32"/>
          <w:szCs w:val="32"/>
          <w:u w:val="single"/>
        </w:rPr>
      </w:pPr>
      <w:r>
        <w:rPr>
          <w:rFonts w:hint="eastAsia" w:ascii="仿宋_GB2312" w:eastAsia="仿宋_GB2312"/>
          <w:b/>
          <w:bCs/>
          <w:kern w:val="0"/>
          <w:sz w:val="32"/>
          <w:szCs w:val="32"/>
        </w:rPr>
        <w:t>乙    方：</w:t>
      </w:r>
    </w:p>
    <w:p w14:paraId="3F76DD5A">
      <w:pPr>
        <w:widowControl/>
        <w:spacing w:line="360" w:lineRule="auto"/>
        <w:jc w:val="left"/>
        <w:rPr>
          <w:rFonts w:ascii="仿宋_GB2312" w:eastAsia="仿宋_GB2312"/>
          <w:b/>
          <w:bCs/>
          <w:kern w:val="0"/>
          <w:sz w:val="32"/>
          <w:szCs w:val="32"/>
          <w:u w:val="single"/>
        </w:rPr>
      </w:pPr>
      <w:bookmarkStart w:id="16" w:name="_Toc306782700"/>
      <w:bookmarkEnd w:id="16"/>
      <w:r>
        <w:rPr>
          <w:rFonts w:hint="eastAsia" w:ascii="仿宋_GB2312" w:eastAsia="仿宋_GB2312"/>
          <w:b/>
          <w:bCs/>
          <w:kern w:val="0"/>
          <w:sz w:val="32"/>
          <w:szCs w:val="32"/>
        </w:rPr>
        <w:t xml:space="preserve">         签约地点：</w:t>
      </w:r>
    </w:p>
    <w:p w14:paraId="4ED3B7BA">
      <w:pPr>
        <w:widowControl/>
        <w:spacing w:line="360" w:lineRule="auto"/>
        <w:jc w:val="left"/>
        <w:rPr>
          <w:rFonts w:ascii="仿宋_GB2312" w:eastAsia="仿宋_GB2312"/>
          <w:b/>
          <w:bCs/>
          <w:kern w:val="0"/>
          <w:sz w:val="32"/>
          <w:szCs w:val="32"/>
        </w:rPr>
      </w:pPr>
      <w:r>
        <w:rPr>
          <w:rFonts w:hint="eastAsia" w:ascii="仿宋_GB2312" w:eastAsia="仿宋_GB2312"/>
          <w:b/>
          <w:bCs/>
          <w:kern w:val="0"/>
          <w:sz w:val="32"/>
          <w:szCs w:val="32"/>
        </w:rPr>
        <w:t xml:space="preserve">         签约时间：</w:t>
      </w:r>
      <w:r>
        <w:rPr>
          <w:rFonts w:hint="eastAsia" w:ascii="仿宋_GB2312" w:eastAsia="仿宋_GB2312"/>
          <w:b/>
          <w:bCs/>
          <w:kern w:val="0"/>
          <w:sz w:val="32"/>
          <w:szCs w:val="32"/>
          <w:u w:val="single"/>
        </w:rPr>
        <w:t xml:space="preserve">         年  月  日     </w:t>
      </w:r>
    </w:p>
    <w:p w14:paraId="610FBE94">
      <w:pPr>
        <w:spacing w:line="360" w:lineRule="auto"/>
        <w:rPr>
          <w:rFonts w:ascii="宋体" w:hAnsi="宋体"/>
          <w:kern w:val="0"/>
          <w:sz w:val="28"/>
          <w:szCs w:val="28"/>
        </w:rPr>
      </w:pPr>
      <w:r>
        <w:rPr>
          <w:rFonts w:hint="eastAsia" w:ascii="宋体" w:hAnsi="宋体"/>
          <w:kern w:val="0"/>
          <w:sz w:val="28"/>
          <w:szCs w:val="28"/>
        </w:rPr>
        <w:t xml:space="preserve">    </w:t>
      </w:r>
    </w:p>
    <w:p w14:paraId="45D6EF7E">
      <w:pPr>
        <w:widowControl/>
        <w:jc w:val="left"/>
        <w:rPr>
          <w:rFonts w:ascii="宋体" w:hAnsi="宋体"/>
          <w:kern w:val="0"/>
          <w:sz w:val="28"/>
          <w:szCs w:val="28"/>
        </w:rPr>
      </w:pPr>
      <w:r>
        <w:rPr>
          <w:rFonts w:ascii="宋体" w:hAnsi="宋体"/>
          <w:kern w:val="0"/>
          <w:sz w:val="28"/>
          <w:szCs w:val="28"/>
        </w:rPr>
        <w:br w:type="page"/>
      </w:r>
    </w:p>
    <w:p w14:paraId="13FE4F2A">
      <w:pPr>
        <w:spacing w:line="360" w:lineRule="auto"/>
        <w:ind w:firstLine="319" w:firstLineChars="152"/>
        <w:rPr>
          <w:rFonts w:ascii="宋体" w:hAnsi="宋体"/>
          <w:kern w:val="0"/>
          <w:szCs w:val="21"/>
        </w:rPr>
      </w:pPr>
      <w:r>
        <w:rPr>
          <w:rFonts w:hint="eastAsia" w:ascii="宋体" w:hAnsi="宋体"/>
          <w:kern w:val="0"/>
          <w:szCs w:val="21"/>
        </w:rPr>
        <w:t>根据《中华人民共和国民法典》以及有关规定，结合本工程的具体情况，双方经充分协商。签订本合同，以资共同遵守。</w:t>
      </w:r>
    </w:p>
    <w:p w14:paraId="68DC30A8">
      <w:pPr>
        <w:spacing w:line="360" w:lineRule="auto"/>
        <w:rPr>
          <w:rFonts w:ascii="宋体" w:hAnsi="宋体"/>
          <w:b/>
          <w:kern w:val="0"/>
          <w:szCs w:val="21"/>
        </w:rPr>
      </w:pPr>
      <w:r>
        <w:rPr>
          <w:rFonts w:hint="eastAsia" w:ascii="宋体" w:hAnsi="宋体"/>
          <w:b/>
          <w:kern w:val="0"/>
          <w:szCs w:val="21"/>
        </w:rPr>
        <w:t>第一条 工程名称：</w:t>
      </w:r>
    </w:p>
    <w:p w14:paraId="2C418E50">
      <w:pPr>
        <w:spacing w:line="360" w:lineRule="auto"/>
        <w:rPr>
          <w:rFonts w:ascii="宋体" w:hAnsi="宋体"/>
          <w:b/>
          <w:kern w:val="0"/>
          <w:szCs w:val="21"/>
        </w:rPr>
      </w:pPr>
      <w:r>
        <w:rPr>
          <w:rFonts w:hint="eastAsia" w:ascii="宋体" w:hAnsi="宋体"/>
          <w:b/>
          <w:kern w:val="0"/>
          <w:szCs w:val="21"/>
        </w:rPr>
        <w:t xml:space="preserve">       工程地点：</w:t>
      </w:r>
    </w:p>
    <w:p w14:paraId="4322BBF0">
      <w:pPr>
        <w:spacing w:line="360" w:lineRule="auto"/>
        <w:rPr>
          <w:rFonts w:ascii="宋体" w:hAnsi="宋体"/>
          <w:b/>
          <w:kern w:val="0"/>
          <w:szCs w:val="21"/>
        </w:rPr>
      </w:pPr>
      <w:r>
        <w:rPr>
          <w:rFonts w:hint="eastAsia" w:ascii="宋体" w:hAnsi="宋体"/>
          <w:b/>
          <w:kern w:val="0"/>
          <w:szCs w:val="21"/>
        </w:rPr>
        <w:t>第二条 工程内容：</w:t>
      </w:r>
    </w:p>
    <w:p w14:paraId="4A92CA40">
      <w:pPr>
        <w:spacing w:after="120"/>
        <w:rPr>
          <w:kern w:val="0"/>
          <w:szCs w:val="21"/>
          <w:u w:val="single"/>
        </w:rPr>
      </w:pPr>
    </w:p>
    <w:p w14:paraId="7519A37C">
      <w:pPr>
        <w:rPr>
          <w:kern w:val="0"/>
          <w:szCs w:val="21"/>
        </w:rPr>
      </w:pPr>
    </w:p>
    <w:p w14:paraId="3B0DC16A">
      <w:pPr>
        <w:spacing w:line="360" w:lineRule="auto"/>
        <w:rPr>
          <w:rFonts w:ascii="宋体" w:hAnsi="宋体"/>
          <w:b/>
          <w:kern w:val="0"/>
          <w:szCs w:val="21"/>
        </w:rPr>
      </w:pPr>
      <w:r>
        <w:rPr>
          <w:rFonts w:hint="eastAsia" w:ascii="宋体" w:hAnsi="宋体"/>
          <w:b/>
          <w:kern w:val="0"/>
          <w:szCs w:val="21"/>
        </w:rPr>
        <w:t>第三条 工程规模：</w:t>
      </w:r>
    </w:p>
    <w:p w14:paraId="5A671D2B">
      <w:pPr>
        <w:spacing w:after="120"/>
        <w:rPr>
          <w:kern w:val="0"/>
          <w:szCs w:val="21"/>
        </w:rPr>
      </w:pPr>
    </w:p>
    <w:p w14:paraId="65CD860A">
      <w:pPr>
        <w:spacing w:line="360" w:lineRule="auto"/>
        <w:rPr>
          <w:rFonts w:ascii="宋体" w:hAnsi="宋体"/>
          <w:b/>
          <w:kern w:val="0"/>
          <w:szCs w:val="21"/>
        </w:rPr>
      </w:pPr>
      <w:r>
        <w:rPr>
          <w:rFonts w:hint="eastAsia" w:ascii="宋体" w:hAnsi="宋体"/>
          <w:b/>
          <w:kern w:val="0"/>
          <w:szCs w:val="21"/>
        </w:rPr>
        <w:t>第四条 工程工期：</w:t>
      </w:r>
    </w:p>
    <w:p w14:paraId="2A1BA3AA">
      <w:pPr>
        <w:spacing w:line="360" w:lineRule="auto"/>
        <w:ind w:firstLine="420" w:firstLineChars="200"/>
        <w:rPr>
          <w:rFonts w:ascii="宋体" w:hAnsi="宋体"/>
          <w:b/>
          <w:kern w:val="0"/>
          <w:szCs w:val="21"/>
        </w:rPr>
      </w:pPr>
      <w:r>
        <w:rPr>
          <w:rFonts w:hint="eastAsia" w:ascii="宋体" w:hAnsi="宋体"/>
          <w:kern w:val="0"/>
          <w:szCs w:val="21"/>
        </w:rPr>
        <w:t>本合同所承包工程的工期定为</w:t>
      </w:r>
      <w:r>
        <w:rPr>
          <w:rFonts w:hint="eastAsia" w:ascii="宋体" w:hAnsi="宋体"/>
          <w:kern w:val="0"/>
          <w:szCs w:val="21"/>
          <w:u w:val="single"/>
        </w:rPr>
        <w:t>45</w:t>
      </w:r>
      <w:r>
        <w:rPr>
          <w:rFonts w:hint="eastAsia" w:ascii="宋体" w:hAnsi="宋体"/>
          <w:kern w:val="0"/>
          <w:szCs w:val="21"/>
        </w:rPr>
        <w:t>个日历天，从开工令日期起算，如遇雨天或甲方要求停工的，则自动向后顺延并以实际工作日为准，工期的起始时间是以甲乙双方签订合同后的第二天开始计算，且甲方提供的施工场地具备并符合施工条件。</w:t>
      </w:r>
    </w:p>
    <w:p w14:paraId="31E5B8CA">
      <w:pPr>
        <w:widowControl/>
        <w:spacing w:line="360" w:lineRule="auto"/>
        <w:rPr>
          <w:rFonts w:ascii="宋体" w:hAnsi="宋体"/>
          <w:b/>
          <w:kern w:val="0"/>
          <w:szCs w:val="21"/>
        </w:rPr>
      </w:pPr>
      <w:r>
        <w:rPr>
          <w:rFonts w:hint="eastAsia" w:ascii="宋体" w:hAnsi="宋体"/>
          <w:b/>
          <w:kern w:val="0"/>
          <w:szCs w:val="21"/>
        </w:rPr>
        <w:t>第五条 工程验收：</w:t>
      </w:r>
    </w:p>
    <w:p w14:paraId="7C3598FB">
      <w:pPr>
        <w:spacing w:line="360" w:lineRule="auto"/>
        <w:ind w:firstLine="420" w:firstLineChars="200"/>
        <w:rPr>
          <w:rFonts w:ascii="宋体" w:hAnsi="宋体"/>
          <w:kern w:val="0"/>
          <w:szCs w:val="21"/>
        </w:rPr>
      </w:pPr>
      <w:r>
        <w:rPr>
          <w:rFonts w:hint="eastAsia" w:ascii="宋体" w:hAnsi="宋体"/>
          <w:kern w:val="0"/>
          <w:szCs w:val="21"/>
        </w:rPr>
        <w:t>工程验收按招、投标文件要求如期完工后，需经现场监理工程师、相关人员、相关部门按国家规范进行验收。验收合格日为竣工日期，并按规定执行保修期，从当日起到保修期满为一年。</w:t>
      </w:r>
    </w:p>
    <w:p w14:paraId="4C6A3172">
      <w:pPr>
        <w:spacing w:line="360" w:lineRule="auto"/>
        <w:rPr>
          <w:rFonts w:ascii="宋体" w:hAnsi="宋体"/>
          <w:b/>
          <w:kern w:val="0"/>
          <w:szCs w:val="21"/>
        </w:rPr>
      </w:pPr>
      <w:r>
        <w:rPr>
          <w:rFonts w:hint="eastAsia" w:ascii="宋体" w:hAnsi="宋体"/>
          <w:b/>
          <w:kern w:val="0"/>
          <w:szCs w:val="21"/>
        </w:rPr>
        <w:t>第六条 工程质量标准及保修条件、期限：</w:t>
      </w:r>
    </w:p>
    <w:p w14:paraId="127CD25B">
      <w:pPr>
        <w:spacing w:line="360" w:lineRule="auto"/>
        <w:ind w:firstLine="424" w:firstLineChars="202"/>
        <w:rPr>
          <w:rFonts w:ascii="宋体" w:hAnsi="宋体"/>
          <w:kern w:val="0"/>
          <w:szCs w:val="21"/>
        </w:rPr>
      </w:pPr>
      <w:r>
        <w:rPr>
          <w:rFonts w:hint="eastAsia" w:ascii="宋体" w:hAnsi="宋体"/>
          <w:kern w:val="0"/>
          <w:szCs w:val="21"/>
        </w:rPr>
        <w:t>（一）按照国家及行业现有标准执行。</w:t>
      </w:r>
    </w:p>
    <w:p w14:paraId="36F399A7">
      <w:pPr>
        <w:spacing w:line="360" w:lineRule="auto"/>
        <w:ind w:firstLine="424" w:firstLineChars="202"/>
        <w:rPr>
          <w:rFonts w:ascii="宋体" w:hAnsi="宋体"/>
          <w:kern w:val="0"/>
          <w:szCs w:val="21"/>
        </w:rPr>
      </w:pPr>
      <w:r>
        <w:rPr>
          <w:rFonts w:hint="eastAsia" w:ascii="宋体" w:hAnsi="宋体"/>
          <w:kern w:val="0"/>
          <w:szCs w:val="21"/>
        </w:rPr>
        <w:t>（二）工程竣工验收至交付使用后保修</w:t>
      </w:r>
      <w:r>
        <w:rPr>
          <w:rFonts w:hint="eastAsia" w:ascii="宋体" w:hAnsi="宋体"/>
          <w:kern w:val="0"/>
          <w:szCs w:val="21"/>
          <w:u w:val="single"/>
        </w:rPr>
        <w:t xml:space="preserve"> 壹 </w:t>
      </w:r>
      <w:r>
        <w:rPr>
          <w:rFonts w:hint="eastAsia" w:ascii="宋体" w:hAnsi="宋体"/>
          <w:kern w:val="0"/>
          <w:szCs w:val="21"/>
        </w:rPr>
        <w:t>年。乙方交付甲方使用之日起，在保修期内，因非人为和非自然灾害的因素出现质量问题，应由乙方负责维修，维修工程所有费用由乙方负责。</w:t>
      </w:r>
    </w:p>
    <w:p w14:paraId="5CC13E8E">
      <w:pPr>
        <w:spacing w:line="360" w:lineRule="auto"/>
        <w:ind w:firstLine="424" w:firstLineChars="202"/>
        <w:rPr>
          <w:rFonts w:ascii="宋体" w:hAnsi="宋体"/>
          <w:kern w:val="0"/>
          <w:szCs w:val="21"/>
        </w:rPr>
      </w:pPr>
      <w:r>
        <w:rPr>
          <w:rFonts w:hint="eastAsia" w:ascii="宋体" w:hAnsi="宋体"/>
          <w:kern w:val="0"/>
          <w:szCs w:val="21"/>
        </w:rPr>
        <w:t>（三）属于保修范围内的项目，在保修期内，乙方应在接到保修通知之日后7日历天内派人修理。乙方不在约定期限内派人修理，甲方可委托其他人员修理，修理费用由乙方承担。</w:t>
      </w:r>
    </w:p>
    <w:p w14:paraId="6D96C460">
      <w:pPr>
        <w:spacing w:line="360" w:lineRule="auto"/>
        <w:rPr>
          <w:rFonts w:ascii="宋体" w:hAnsi="宋体"/>
          <w:b/>
          <w:kern w:val="0"/>
          <w:szCs w:val="21"/>
        </w:rPr>
      </w:pPr>
      <w:r>
        <w:rPr>
          <w:rFonts w:hint="eastAsia" w:ascii="宋体" w:hAnsi="宋体"/>
          <w:b/>
          <w:kern w:val="0"/>
          <w:szCs w:val="21"/>
        </w:rPr>
        <w:t>第七条 承包方式：</w:t>
      </w:r>
    </w:p>
    <w:p w14:paraId="6CB151C3">
      <w:pPr>
        <w:spacing w:line="360" w:lineRule="auto"/>
        <w:ind w:firstLine="424" w:firstLineChars="202"/>
        <w:rPr>
          <w:rFonts w:ascii="宋体" w:hAnsi="宋体"/>
          <w:kern w:val="0"/>
          <w:szCs w:val="21"/>
          <w:u w:val="single"/>
        </w:rPr>
      </w:pPr>
    </w:p>
    <w:p w14:paraId="0DD9D31E">
      <w:pPr>
        <w:spacing w:line="360" w:lineRule="auto"/>
        <w:rPr>
          <w:rFonts w:ascii="宋体" w:hAnsi="宋体"/>
          <w:b/>
          <w:kern w:val="0"/>
          <w:szCs w:val="21"/>
        </w:rPr>
      </w:pPr>
      <w:r>
        <w:rPr>
          <w:rFonts w:hint="eastAsia" w:ascii="宋体" w:hAnsi="宋体"/>
          <w:b/>
          <w:kern w:val="0"/>
          <w:szCs w:val="21"/>
        </w:rPr>
        <w:t>第八条 甲方应完成下列工作：</w:t>
      </w:r>
    </w:p>
    <w:p w14:paraId="32D08545">
      <w:pPr>
        <w:spacing w:line="360" w:lineRule="auto"/>
        <w:ind w:firstLine="424" w:firstLineChars="202"/>
        <w:rPr>
          <w:rFonts w:ascii="宋体" w:hAnsi="宋体"/>
          <w:kern w:val="0"/>
          <w:szCs w:val="21"/>
        </w:rPr>
      </w:pPr>
      <w:r>
        <w:rPr>
          <w:rFonts w:hint="eastAsia" w:ascii="宋体" w:hAnsi="宋体"/>
          <w:kern w:val="0"/>
          <w:szCs w:val="21"/>
        </w:rPr>
        <w:t>（一）在乙方进场前三天完成图纸会审、“三通一平”，提供进场道路、提供水电接驳口。</w:t>
      </w:r>
    </w:p>
    <w:p w14:paraId="450B5FAD">
      <w:pPr>
        <w:spacing w:line="360" w:lineRule="auto"/>
        <w:ind w:firstLine="424" w:firstLineChars="202"/>
        <w:rPr>
          <w:rFonts w:ascii="宋体" w:hAnsi="宋体"/>
          <w:kern w:val="0"/>
          <w:szCs w:val="21"/>
        </w:rPr>
      </w:pPr>
      <w:r>
        <w:rPr>
          <w:rFonts w:hint="eastAsia" w:ascii="宋体" w:hAnsi="宋体"/>
          <w:kern w:val="0"/>
          <w:szCs w:val="21"/>
        </w:rPr>
        <w:t>（二）监督总体进度、计划实施和施工质量，协调各部门配合施工。</w:t>
      </w:r>
    </w:p>
    <w:p w14:paraId="53F2DBBE">
      <w:pPr>
        <w:spacing w:line="360" w:lineRule="auto"/>
        <w:ind w:firstLine="424" w:firstLineChars="202"/>
        <w:rPr>
          <w:rFonts w:ascii="宋体" w:hAnsi="宋体"/>
          <w:kern w:val="0"/>
          <w:szCs w:val="21"/>
        </w:rPr>
      </w:pPr>
      <w:r>
        <w:rPr>
          <w:rFonts w:hint="eastAsia" w:ascii="宋体" w:hAnsi="宋体"/>
          <w:kern w:val="0"/>
          <w:szCs w:val="21"/>
        </w:rPr>
        <w:t>（三）统筹安排场地及临时设施。</w:t>
      </w:r>
    </w:p>
    <w:p w14:paraId="67ED48D9">
      <w:pPr>
        <w:spacing w:line="360" w:lineRule="auto"/>
        <w:rPr>
          <w:rFonts w:ascii="宋体" w:hAnsi="宋体"/>
          <w:b/>
          <w:kern w:val="0"/>
          <w:szCs w:val="21"/>
        </w:rPr>
      </w:pPr>
      <w:r>
        <w:rPr>
          <w:rFonts w:hint="eastAsia" w:ascii="宋体" w:hAnsi="宋体"/>
          <w:b/>
          <w:kern w:val="0"/>
          <w:szCs w:val="21"/>
        </w:rPr>
        <w:t>第九条 乙方应完成下列工作：</w:t>
      </w:r>
    </w:p>
    <w:p w14:paraId="48B68C76">
      <w:pPr>
        <w:spacing w:line="360" w:lineRule="auto"/>
        <w:ind w:firstLine="424" w:firstLineChars="202"/>
        <w:rPr>
          <w:rFonts w:ascii="宋体" w:hAnsi="宋体"/>
          <w:kern w:val="0"/>
          <w:szCs w:val="21"/>
        </w:rPr>
      </w:pPr>
      <w:r>
        <w:rPr>
          <w:rFonts w:hint="eastAsia" w:ascii="宋体" w:hAnsi="宋体"/>
          <w:kern w:val="0"/>
          <w:szCs w:val="21"/>
        </w:rPr>
        <w:t>（一）乙方承包的工程，非经甲方同意，不得随意分包第三方，否则，甲方有权终止合同。</w:t>
      </w:r>
    </w:p>
    <w:p w14:paraId="7D7F71EC">
      <w:pPr>
        <w:spacing w:line="360" w:lineRule="auto"/>
        <w:ind w:firstLine="424" w:firstLineChars="202"/>
        <w:rPr>
          <w:rFonts w:ascii="宋体" w:hAnsi="宋体"/>
          <w:kern w:val="0"/>
          <w:szCs w:val="21"/>
        </w:rPr>
      </w:pPr>
      <w:r>
        <w:rPr>
          <w:rFonts w:hint="eastAsia" w:ascii="宋体" w:hAnsi="宋体"/>
          <w:kern w:val="0"/>
          <w:szCs w:val="21"/>
        </w:rPr>
        <w:t>（二）乙方必须严格按照施工图与说明书以及施工技术规范和操作规程进行施工，确保工程质量，按期完工。在工程质量上必须接受质量监督部门和甲方的监督。</w:t>
      </w:r>
    </w:p>
    <w:p w14:paraId="42332CEA">
      <w:pPr>
        <w:spacing w:line="360" w:lineRule="auto"/>
        <w:ind w:firstLine="424" w:firstLineChars="202"/>
        <w:rPr>
          <w:rFonts w:ascii="宋体" w:hAnsi="宋体"/>
          <w:kern w:val="0"/>
          <w:szCs w:val="21"/>
        </w:rPr>
      </w:pPr>
      <w:r>
        <w:rPr>
          <w:rFonts w:hint="eastAsia" w:ascii="宋体" w:hAnsi="宋体"/>
          <w:kern w:val="0"/>
          <w:szCs w:val="21"/>
        </w:rPr>
        <w:t>（三）乙方应尽到安全保障义务，乙方人员在施工工程中造成甲方、乙方或任意第三方人身财产损害的，由乙方承担赔偿责任，甲方被索赔的，赔偿后有权向乙方追偿。</w:t>
      </w:r>
    </w:p>
    <w:p w14:paraId="6EE4A0FB">
      <w:pPr>
        <w:pStyle w:val="18"/>
        <w:spacing w:line="360" w:lineRule="auto"/>
        <w:rPr>
          <w:rFonts w:hAnsi="宋体"/>
          <w:b/>
          <w:sz w:val="21"/>
          <w:szCs w:val="21"/>
        </w:rPr>
      </w:pPr>
      <w:r>
        <w:rPr>
          <w:rFonts w:hint="eastAsia" w:hAnsi="宋体"/>
          <w:b/>
          <w:sz w:val="21"/>
          <w:szCs w:val="21"/>
        </w:rPr>
        <w:t>第十条 工程价款</w:t>
      </w:r>
    </w:p>
    <w:p w14:paraId="34202E78">
      <w:pPr>
        <w:pStyle w:val="18"/>
        <w:spacing w:line="360" w:lineRule="auto"/>
        <w:ind w:firstLine="424" w:firstLineChars="202"/>
        <w:rPr>
          <w:rFonts w:hAnsi="宋体"/>
          <w:sz w:val="21"/>
          <w:szCs w:val="21"/>
        </w:rPr>
      </w:pPr>
      <w:r>
        <w:rPr>
          <w:rFonts w:hint="eastAsia" w:hAnsi="宋体"/>
          <w:sz w:val="21"/>
          <w:szCs w:val="21"/>
        </w:rPr>
        <w:t>工程价款为人民币</w:t>
      </w:r>
      <w:r>
        <w:rPr>
          <w:rFonts w:hint="eastAsia" w:hAnsi="宋体"/>
          <w:sz w:val="21"/>
          <w:szCs w:val="21"/>
          <w:u w:val="single"/>
        </w:rPr>
        <w:t xml:space="preserve">      </w:t>
      </w:r>
      <w:r>
        <w:rPr>
          <w:rFonts w:hint="eastAsia" w:hAnsi="宋体"/>
          <w:sz w:val="21"/>
          <w:szCs w:val="21"/>
        </w:rPr>
        <w:t>元（大写：</w:t>
      </w:r>
      <w:r>
        <w:rPr>
          <w:rFonts w:hint="eastAsia" w:hAnsi="宋体"/>
          <w:sz w:val="21"/>
          <w:szCs w:val="21"/>
          <w:u w:val="single"/>
        </w:rPr>
        <w:t xml:space="preserve">      </w:t>
      </w:r>
      <w:r>
        <w:rPr>
          <w:rFonts w:hint="eastAsia" w:hAnsi="宋体"/>
          <w:sz w:val="21"/>
          <w:szCs w:val="21"/>
        </w:rPr>
        <w:t>），本工程合同为固定总价合同，总价为中标价。</w:t>
      </w:r>
    </w:p>
    <w:p w14:paraId="6B1C9293">
      <w:pPr>
        <w:pStyle w:val="18"/>
        <w:spacing w:line="360" w:lineRule="auto"/>
        <w:ind w:firstLine="424" w:firstLineChars="202"/>
        <w:rPr>
          <w:rFonts w:hAnsi="宋体"/>
          <w:szCs w:val="21"/>
        </w:rPr>
      </w:pPr>
      <w:r>
        <w:rPr>
          <w:rFonts w:hint="eastAsia" w:hAnsi="宋体"/>
          <w:sz w:val="21"/>
          <w:szCs w:val="21"/>
        </w:rPr>
        <w:t>工程付款方式按以下条款执行：</w:t>
      </w:r>
    </w:p>
    <w:p w14:paraId="2C1E4E33">
      <w:pPr>
        <w:spacing w:line="360" w:lineRule="auto"/>
        <w:ind w:firstLine="424" w:firstLineChars="202"/>
        <w:rPr>
          <w:rFonts w:ascii="宋体" w:hAnsi="宋体"/>
          <w:kern w:val="0"/>
          <w:szCs w:val="21"/>
        </w:rPr>
      </w:pPr>
      <w:r>
        <w:rPr>
          <w:rFonts w:hint="eastAsia" w:asciiTheme="minorEastAsia" w:hAnsiTheme="minorEastAsia" w:eastAsiaTheme="minorEastAsia"/>
          <w:kern w:val="0"/>
          <w:szCs w:val="21"/>
        </w:rPr>
        <w:t>（一）本合同签订后，甲方于</w:t>
      </w:r>
      <w:r>
        <w:rPr>
          <w:rFonts w:hint="eastAsia" w:asciiTheme="minorEastAsia" w:hAnsiTheme="minorEastAsia" w:eastAsiaTheme="minorEastAsia"/>
          <w:kern w:val="0"/>
          <w:szCs w:val="21"/>
          <w:u w:val="single"/>
        </w:rPr>
        <w:t>7</w:t>
      </w:r>
      <w:r>
        <w:rPr>
          <w:rFonts w:hint="eastAsia" w:asciiTheme="minorEastAsia" w:hAnsiTheme="minorEastAsia" w:eastAsiaTheme="minorEastAsia"/>
          <w:kern w:val="0"/>
          <w:szCs w:val="21"/>
        </w:rPr>
        <w:t>日历天内向乙方支付工程预付款，即合同总价的</w:t>
      </w:r>
      <w:r>
        <w:rPr>
          <w:rFonts w:hint="eastAsia" w:asciiTheme="minorEastAsia" w:hAnsiTheme="minorEastAsia" w:eastAsiaTheme="minorEastAsia"/>
          <w:kern w:val="0"/>
          <w:szCs w:val="21"/>
          <w:u w:val="single"/>
        </w:rPr>
        <w:t>50%，即人民币       元</w:t>
      </w:r>
      <w:r>
        <w:rPr>
          <w:rFonts w:hint="eastAsia" w:asciiTheme="minorEastAsia" w:hAnsiTheme="minorEastAsia" w:eastAsiaTheme="minorEastAsia"/>
          <w:kern w:val="0"/>
          <w:szCs w:val="21"/>
        </w:rPr>
        <w:t>；工程完工后，甲方于</w:t>
      </w:r>
      <w:r>
        <w:rPr>
          <w:rFonts w:hint="eastAsia" w:asciiTheme="minorEastAsia" w:hAnsiTheme="minorEastAsia" w:eastAsiaTheme="minorEastAsia"/>
          <w:kern w:val="0"/>
          <w:szCs w:val="21"/>
          <w:u w:val="single"/>
        </w:rPr>
        <w:t>7</w:t>
      </w:r>
      <w:r>
        <w:rPr>
          <w:rFonts w:hint="eastAsia" w:asciiTheme="minorEastAsia" w:hAnsiTheme="minorEastAsia" w:eastAsiaTheme="minorEastAsia"/>
          <w:kern w:val="0"/>
          <w:szCs w:val="21"/>
        </w:rPr>
        <w:t>日历天内向乙方支付合同总价的</w:t>
      </w:r>
      <w:r>
        <w:rPr>
          <w:rFonts w:hint="eastAsia" w:asciiTheme="minorEastAsia" w:hAnsiTheme="minorEastAsia" w:eastAsiaTheme="minorEastAsia"/>
          <w:kern w:val="0"/>
          <w:szCs w:val="21"/>
          <w:u w:val="single"/>
        </w:rPr>
        <w:t>40%，即人民币 元</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工程验收合格后支付至</w:t>
      </w:r>
      <w:r>
        <w:rPr>
          <w:rFonts w:hint="eastAsia" w:asciiTheme="minorEastAsia" w:hAnsiTheme="minorEastAsia" w:eastAsiaTheme="minorEastAsia"/>
          <w:kern w:val="0"/>
          <w:szCs w:val="21"/>
        </w:rPr>
        <w:t>合同总价的</w:t>
      </w:r>
      <w:r>
        <w:rPr>
          <w:rFonts w:hint="eastAsia" w:asciiTheme="minorEastAsia" w:hAnsiTheme="minorEastAsia" w:eastAsiaTheme="minorEastAsia"/>
          <w:szCs w:val="21"/>
        </w:rPr>
        <w:t>97%；剩余3%作为工程保修款，保修期结束后予以支付</w:t>
      </w:r>
      <w:r>
        <w:rPr>
          <w:rFonts w:hint="eastAsia" w:asciiTheme="minorEastAsia" w:hAnsiTheme="minorEastAsia" w:eastAsiaTheme="minorEastAsia"/>
          <w:kern w:val="0"/>
          <w:szCs w:val="21"/>
        </w:rPr>
        <w:t>。甲方向乙方支付上述款项前</w:t>
      </w:r>
      <w:r>
        <w:rPr>
          <w:rFonts w:asciiTheme="minorEastAsia" w:hAnsiTheme="minorEastAsia" w:eastAsiaTheme="minorEastAsia"/>
          <w:kern w:val="0"/>
          <w:szCs w:val="21"/>
        </w:rPr>
        <w:t>3个工作日，乙方应向甲方开具合法、足额的发票，</w:t>
      </w:r>
      <w:r>
        <w:rPr>
          <w:rFonts w:ascii="宋体" w:hAnsi="宋体"/>
          <w:kern w:val="0"/>
          <w:szCs w:val="21"/>
        </w:rPr>
        <w:t>因乙方未及时向甲方开具发票导致的逾期付款，不视为</w:t>
      </w:r>
      <w:r>
        <w:rPr>
          <w:rFonts w:hint="eastAsia" w:ascii="宋体" w:hAnsi="宋体"/>
          <w:kern w:val="0"/>
          <w:szCs w:val="21"/>
        </w:rPr>
        <w:t>甲方</w:t>
      </w:r>
      <w:r>
        <w:rPr>
          <w:rFonts w:ascii="宋体" w:hAnsi="宋体"/>
          <w:kern w:val="0"/>
          <w:szCs w:val="21"/>
        </w:rPr>
        <w:t>违约。</w:t>
      </w:r>
    </w:p>
    <w:p w14:paraId="5CD0C029">
      <w:pPr>
        <w:spacing w:line="360" w:lineRule="auto"/>
        <w:ind w:firstLine="424" w:firstLineChars="202"/>
        <w:rPr>
          <w:rFonts w:ascii="宋体" w:hAnsi="宋体"/>
          <w:kern w:val="0"/>
          <w:szCs w:val="21"/>
        </w:rPr>
      </w:pPr>
      <w:r>
        <w:rPr>
          <w:rFonts w:hint="eastAsia" w:ascii="宋体" w:hAnsi="宋体"/>
          <w:kern w:val="0"/>
          <w:szCs w:val="21"/>
        </w:rPr>
        <w:t>（二）乙方收款账户：</w:t>
      </w:r>
    </w:p>
    <w:p w14:paraId="4C50EBE5">
      <w:pPr>
        <w:spacing w:line="360" w:lineRule="auto"/>
        <w:ind w:left="420" w:leftChars="200"/>
        <w:rPr>
          <w:rFonts w:ascii="宋体" w:hAnsi="宋体"/>
          <w:kern w:val="0"/>
          <w:szCs w:val="21"/>
        </w:rPr>
      </w:pPr>
      <w:r>
        <w:rPr>
          <w:rFonts w:hint="eastAsia" w:ascii="宋体" w:hAnsi="宋体"/>
          <w:kern w:val="0"/>
          <w:szCs w:val="21"/>
        </w:rPr>
        <w:t>开 户 名：</w:t>
      </w:r>
    </w:p>
    <w:p w14:paraId="1378CDFE">
      <w:pPr>
        <w:spacing w:line="360" w:lineRule="auto"/>
        <w:ind w:left="420" w:leftChars="200"/>
        <w:rPr>
          <w:rFonts w:ascii="宋体" w:hAnsi="宋体"/>
          <w:kern w:val="0"/>
          <w:szCs w:val="21"/>
        </w:rPr>
      </w:pPr>
      <w:r>
        <w:rPr>
          <w:rFonts w:hint="eastAsia" w:ascii="宋体" w:hAnsi="宋体"/>
          <w:kern w:val="0"/>
          <w:szCs w:val="21"/>
        </w:rPr>
        <w:t>开 户 行：</w:t>
      </w:r>
    </w:p>
    <w:p w14:paraId="43DEB8E6">
      <w:pPr>
        <w:spacing w:line="360" w:lineRule="auto"/>
        <w:ind w:left="420" w:leftChars="200"/>
        <w:rPr>
          <w:rFonts w:ascii="宋体" w:hAnsi="宋体"/>
          <w:kern w:val="0"/>
          <w:szCs w:val="21"/>
        </w:rPr>
      </w:pPr>
      <w:r>
        <w:rPr>
          <w:rFonts w:hint="eastAsia" w:ascii="宋体" w:hAnsi="宋体"/>
          <w:kern w:val="0"/>
          <w:szCs w:val="21"/>
        </w:rPr>
        <w:t>账    号：</w:t>
      </w:r>
    </w:p>
    <w:p w14:paraId="4F8F9360">
      <w:pPr>
        <w:spacing w:line="360" w:lineRule="auto"/>
        <w:rPr>
          <w:rFonts w:ascii="宋体" w:hAnsi="宋体"/>
          <w:b/>
          <w:kern w:val="0"/>
          <w:szCs w:val="21"/>
        </w:rPr>
      </w:pPr>
      <w:r>
        <w:rPr>
          <w:rFonts w:hint="eastAsia" w:ascii="宋体" w:hAnsi="宋体"/>
          <w:b/>
          <w:kern w:val="0"/>
          <w:szCs w:val="21"/>
        </w:rPr>
        <w:t>第十一条  违约责任</w:t>
      </w:r>
    </w:p>
    <w:p w14:paraId="195A1905">
      <w:pPr>
        <w:spacing w:line="360" w:lineRule="auto"/>
        <w:ind w:firstLine="420"/>
        <w:rPr>
          <w:rFonts w:ascii="宋体" w:hAnsi="宋体"/>
          <w:szCs w:val="21"/>
        </w:rPr>
      </w:pPr>
      <w:r>
        <w:rPr>
          <w:rFonts w:hint="eastAsia" w:ascii="宋体" w:hAnsi="宋体"/>
          <w:szCs w:val="21"/>
        </w:rPr>
        <w:t>（一）</w:t>
      </w:r>
      <w:r>
        <w:rPr>
          <w:rFonts w:hint="eastAsia" w:ascii="宋体" w:hAnsi="宋体"/>
          <w:kern w:val="0"/>
          <w:szCs w:val="21"/>
        </w:rPr>
        <w:t>乙方</w:t>
      </w:r>
      <w:r>
        <w:rPr>
          <w:rFonts w:ascii="宋体" w:hAnsi="宋体"/>
          <w:szCs w:val="21"/>
        </w:rPr>
        <w:t>未按时竣工，每延</w:t>
      </w:r>
      <w:r>
        <w:rPr>
          <w:rFonts w:hint="eastAsia" w:ascii="宋体" w:hAnsi="宋体"/>
          <w:szCs w:val="21"/>
        </w:rPr>
        <w:t>迟</w:t>
      </w:r>
      <w:r>
        <w:rPr>
          <w:rFonts w:ascii="宋体" w:hAnsi="宋体"/>
          <w:szCs w:val="21"/>
        </w:rPr>
        <w:t>工期一日历天，按工程结算价款1‰的违约金给甲方，该项全部违约金额不超工程结算价款30％。如延</w:t>
      </w:r>
      <w:r>
        <w:rPr>
          <w:rFonts w:hint="eastAsia" w:ascii="宋体" w:hAnsi="宋体"/>
          <w:szCs w:val="21"/>
        </w:rPr>
        <w:t>迟</w:t>
      </w:r>
      <w:r>
        <w:rPr>
          <w:rFonts w:ascii="宋体" w:hAnsi="宋体"/>
          <w:szCs w:val="21"/>
        </w:rPr>
        <w:t>工期达到原合同工期，甲方可以单方解除合同，乙方须立即清场，待甲方委托其它人施工完成本工程后再与乙方办理结算及相关索赔手续。</w:t>
      </w:r>
    </w:p>
    <w:p w14:paraId="43BEF369">
      <w:pPr>
        <w:spacing w:line="360" w:lineRule="auto"/>
        <w:ind w:firstLine="420"/>
        <w:rPr>
          <w:rFonts w:ascii="宋体" w:hAnsi="宋体"/>
          <w:szCs w:val="21"/>
        </w:rPr>
      </w:pPr>
      <w:r>
        <w:rPr>
          <w:rFonts w:ascii="宋体" w:hAnsi="宋体"/>
          <w:szCs w:val="21"/>
        </w:rPr>
        <w:t>（二）工程质量达不到合同约定的质量标准，乙方承担给甲方带来的全部损失，改正返工至合格为止，并支付工程结算价款30％的违约金给甲方。</w:t>
      </w:r>
    </w:p>
    <w:p w14:paraId="552D245E">
      <w:pPr>
        <w:spacing w:line="360" w:lineRule="auto"/>
        <w:ind w:firstLine="420"/>
        <w:rPr>
          <w:rFonts w:ascii="宋体" w:hAnsi="宋体"/>
          <w:szCs w:val="21"/>
        </w:rPr>
      </w:pPr>
      <w:r>
        <w:rPr>
          <w:rFonts w:hint="eastAsia" w:ascii="宋体" w:hAnsi="宋体"/>
          <w:szCs w:val="21"/>
        </w:rPr>
        <w:t>（三）如</w:t>
      </w:r>
      <w:r>
        <w:rPr>
          <w:rFonts w:ascii="宋体" w:hAnsi="宋体"/>
          <w:szCs w:val="21"/>
        </w:rPr>
        <w:t>乙方擅自将本工程的一部分或全部分包、或转包给其他承包商施工，甲方将上报财政主管部门依法处理。</w:t>
      </w:r>
    </w:p>
    <w:p w14:paraId="21363B45">
      <w:pPr>
        <w:spacing w:line="360" w:lineRule="auto"/>
        <w:ind w:firstLine="420"/>
        <w:rPr>
          <w:rFonts w:ascii="Calibri" w:hAnsi="Calibri"/>
          <w:b/>
          <w:sz w:val="22"/>
          <w:szCs w:val="21"/>
        </w:rPr>
      </w:pPr>
      <w:r>
        <w:rPr>
          <w:rFonts w:ascii="宋体" w:hAnsi="宋体"/>
          <w:szCs w:val="21"/>
        </w:rPr>
        <w:t>（四）发生其它使合同无法履行的行为，按损害程度支付相应的违约金。</w:t>
      </w:r>
    </w:p>
    <w:p w14:paraId="5D717396">
      <w:pPr>
        <w:spacing w:line="360" w:lineRule="auto"/>
        <w:rPr>
          <w:rFonts w:ascii="宋体" w:hAnsi="宋体"/>
          <w:b/>
          <w:kern w:val="0"/>
          <w:szCs w:val="21"/>
        </w:rPr>
      </w:pPr>
      <w:r>
        <w:rPr>
          <w:rFonts w:hint="eastAsia" w:ascii="宋体" w:hAnsi="宋体"/>
          <w:b/>
          <w:kern w:val="0"/>
          <w:szCs w:val="21"/>
        </w:rPr>
        <w:t>第十二条 不可抗力</w:t>
      </w:r>
    </w:p>
    <w:p w14:paraId="5A8EE966">
      <w:pPr>
        <w:spacing w:line="360" w:lineRule="auto"/>
        <w:ind w:firstLine="420" w:firstLineChars="200"/>
        <w:rPr>
          <w:rFonts w:ascii="宋体" w:hAnsi="宋体"/>
          <w:color w:val="000000"/>
          <w:szCs w:val="21"/>
        </w:rPr>
      </w:pPr>
      <w:r>
        <w:rPr>
          <w:rFonts w:hint="eastAsia" w:ascii="宋体" w:hAnsi="宋体"/>
          <w:color w:val="000000"/>
          <w:szCs w:val="21"/>
        </w:rPr>
        <w:t>除自然灾害外，任何一方由于不可抗力的原因不能履行合同时，应及时向对方通报不能履行或不能完全履行的理由，在取得双方商议后，允许延期履行、部分履行或者不履行合同，并根据情况可部分或全部免予承担违约责任。</w:t>
      </w:r>
    </w:p>
    <w:p w14:paraId="17226AC2">
      <w:pPr>
        <w:snapToGrid w:val="0"/>
        <w:spacing w:line="360" w:lineRule="auto"/>
        <w:rPr>
          <w:rFonts w:ascii="宋体" w:hAnsi="宋体"/>
          <w:b/>
          <w:bCs/>
          <w:szCs w:val="21"/>
        </w:rPr>
      </w:pPr>
      <w:r>
        <w:rPr>
          <w:rFonts w:hint="eastAsia" w:ascii="宋体" w:hAnsi="宋体"/>
          <w:b/>
          <w:kern w:val="0"/>
          <w:szCs w:val="21"/>
        </w:rPr>
        <w:t xml:space="preserve">第十三条 </w:t>
      </w:r>
      <w:r>
        <w:rPr>
          <w:rFonts w:hint="eastAsia" w:ascii="宋体" w:hAnsi="宋体"/>
          <w:b/>
          <w:bCs/>
          <w:szCs w:val="21"/>
        </w:rPr>
        <w:t>争议解决办法</w:t>
      </w:r>
    </w:p>
    <w:p w14:paraId="49F2390A">
      <w:pPr>
        <w:snapToGrid w:val="0"/>
        <w:spacing w:line="360" w:lineRule="auto"/>
        <w:ind w:firstLine="420" w:firstLineChars="200"/>
        <w:rPr>
          <w:rFonts w:ascii="宋体" w:hAnsi="宋体"/>
          <w:szCs w:val="21"/>
        </w:rPr>
      </w:pPr>
      <w:r>
        <w:rPr>
          <w:rFonts w:ascii="宋体" w:hAnsi="宋体"/>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50E9F7E">
      <w:pPr>
        <w:snapToGrid w:val="0"/>
        <w:spacing w:line="360" w:lineRule="auto"/>
        <w:rPr>
          <w:rFonts w:ascii="宋体" w:hAnsi="宋体"/>
          <w:b/>
          <w:bCs/>
          <w:szCs w:val="21"/>
        </w:rPr>
      </w:pPr>
      <w:r>
        <w:rPr>
          <w:rFonts w:hint="eastAsia" w:ascii="宋体" w:hAnsi="宋体"/>
          <w:b/>
          <w:kern w:val="0"/>
          <w:szCs w:val="21"/>
        </w:rPr>
        <w:t xml:space="preserve">第十四条 </w:t>
      </w:r>
      <w:r>
        <w:rPr>
          <w:rFonts w:hint="eastAsia" w:ascii="宋体" w:hAnsi="宋体"/>
          <w:b/>
          <w:szCs w:val="21"/>
        </w:rPr>
        <w:t>合同的变更、解除或终止</w:t>
      </w:r>
    </w:p>
    <w:p w14:paraId="59CCFF64">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3C322655">
      <w:pPr>
        <w:spacing w:line="360" w:lineRule="auto"/>
        <w:rPr>
          <w:rFonts w:ascii="宋体" w:hAnsi="宋体"/>
          <w:kern w:val="0"/>
          <w:szCs w:val="21"/>
        </w:rPr>
      </w:pPr>
      <w:r>
        <w:rPr>
          <w:rFonts w:hint="eastAsia" w:ascii="宋体" w:hAnsi="宋体"/>
          <w:b/>
          <w:kern w:val="0"/>
          <w:szCs w:val="21"/>
        </w:rPr>
        <w:t>第十五条</w:t>
      </w:r>
      <w:r>
        <w:rPr>
          <w:rFonts w:hint="eastAsia" w:ascii="宋体" w:hAnsi="宋体"/>
          <w:kern w:val="0"/>
          <w:szCs w:val="21"/>
        </w:rPr>
        <w:t xml:space="preserve"> 其他</w:t>
      </w:r>
    </w:p>
    <w:p w14:paraId="066771A1">
      <w:pPr>
        <w:spacing w:line="360" w:lineRule="auto"/>
        <w:ind w:firstLine="424" w:firstLineChars="202"/>
        <w:rPr>
          <w:rFonts w:ascii="宋体" w:hAnsi="宋体"/>
          <w:kern w:val="0"/>
          <w:szCs w:val="21"/>
        </w:rPr>
      </w:pPr>
      <w:r>
        <w:rPr>
          <w:rFonts w:hint="eastAsia" w:ascii="宋体" w:hAnsi="宋体"/>
          <w:kern w:val="0"/>
          <w:szCs w:val="21"/>
        </w:rPr>
        <w:t>（一）本协议未尽事宜，双方协商解决，并签订补充协议。</w:t>
      </w:r>
    </w:p>
    <w:p w14:paraId="50DA7ABB">
      <w:pPr>
        <w:spacing w:line="360" w:lineRule="auto"/>
        <w:ind w:firstLine="424" w:firstLineChars="202"/>
        <w:rPr>
          <w:rFonts w:ascii="宋体" w:hAnsi="宋体"/>
          <w:kern w:val="0"/>
          <w:szCs w:val="21"/>
        </w:rPr>
      </w:pPr>
      <w:r>
        <w:rPr>
          <w:rFonts w:hint="eastAsia" w:ascii="宋体" w:hAnsi="宋体"/>
          <w:kern w:val="0"/>
          <w:szCs w:val="21"/>
        </w:rPr>
        <w:t>（二）本合同如发生纠纷，当事人双方应当及时协商解决，协商不成时，向工程所在地法院提起诉讼解决。</w:t>
      </w:r>
    </w:p>
    <w:p w14:paraId="4A554212">
      <w:pPr>
        <w:spacing w:line="360" w:lineRule="auto"/>
        <w:ind w:firstLine="424" w:firstLineChars="202"/>
        <w:rPr>
          <w:rFonts w:ascii="宋体" w:hAnsi="宋体"/>
          <w:kern w:val="0"/>
          <w:szCs w:val="21"/>
        </w:rPr>
      </w:pPr>
      <w:r>
        <w:rPr>
          <w:rFonts w:hint="eastAsia" w:ascii="宋体" w:hAnsi="宋体"/>
          <w:kern w:val="0"/>
          <w:szCs w:val="21"/>
        </w:rPr>
        <w:t>（三）甲、乙方共同确认本合同上的送达信息作为合同履行、诉讼、仲裁程序的有效送达信息，发送的快递送达预留的地址即使被退回或拒签也视为送达，通过短信或者邮件送达的，短信或者邮件成功发出即视为送达；如一方书面通知送达信息变更后应将快件、短信、邮件等发送到变更后的送达信息。</w:t>
      </w:r>
    </w:p>
    <w:p w14:paraId="32C13A27">
      <w:pPr>
        <w:spacing w:line="360" w:lineRule="auto"/>
        <w:ind w:firstLine="424" w:firstLineChars="202"/>
        <w:rPr>
          <w:rFonts w:ascii="宋体" w:hAnsi="宋体"/>
          <w:kern w:val="0"/>
          <w:szCs w:val="21"/>
        </w:rPr>
      </w:pPr>
      <w:r>
        <w:rPr>
          <w:rFonts w:hint="eastAsia" w:ascii="宋体" w:hAnsi="宋体"/>
          <w:kern w:val="0"/>
          <w:szCs w:val="21"/>
        </w:rPr>
        <w:t>（四）本合同一式</w:t>
      </w:r>
      <w:r>
        <w:rPr>
          <w:rFonts w:hint="eastAsia" w:ascii="宋体" w:hAnsi="宋体"/>
          <w:kern w:val="0"/>
          <w:szCs w:val="21"/>
          <w:u w:val="single"/>
        </w:rPr>
        <w:t xml:space="preserve"> 肆 </w:t>
      </w:r>
      <w:r>
        <w:rPr>
          <w:rFonts w:hint="eastAsia" w:ascii="宋体" w:hAnsi="宋体"/>
          <w:kern w:val="0"/>
          <w:szCs w:val="21"/>
        </w:rPr>
        <w:t>份，甲、乙双方各执</w:t>
      </w:r>
      <w:r>
        <w:rPr>
          <w:rFonts w:hint="eastAsia" w:ascii="宋体" w:hAnsi="宋体"/>
          <w:kern w:val="0"/>
          <w:szCs w:val="21"/>
          <w:u w:val="single"/>
        </w:rPr>
        <w:t xml:space="preserve"> 贰 </w:t>
      </w:r>
      <w:r>
        <w:rPr>
          <w:rFonts w:hint="eastAsia" w:ascii="宋体" w:hAnsi="宋体"/>
          <w:kern w:val="0"/>
          <w:szCs w:val="21"/>
        </w:rPr>
        <w:t>份，自签字盖章之日起生效，均具有同等法律效力。</w:t>
      </w:r>
    </w:p>
    <w:p w14:paraId="42F7E4E9">
      <w:pPr>
        <w:spacing w:line="360" w:lineRule="auto"/>
        <w:rPr>
          <w:rFonts w:ascii="宋体" w:hAnsi="宋体"/>
          <w:kern w:val="0"/>
          <w:szCs w:val="21"/>
        </w:rPr>
      </w:pPr>
    </w:p>
    <w:tbl>
      <w:tblPr>
        <w:tblStyle w:val="55"/>
        <w:tblW w:w="0" w:type="auto"/>
        <w:tblInd w:w="0" w:type="dxa"/>
        <w:tblLayout w:type="fixed"/>
        <w:tblCellMar>
          <w:top w:w="0" w:type="dxa"/>
          <w:left w:w="0" w:type="dxa"/>
          <w:bottom w:w="0" w:type="dxa"/>
          <w:right w:w="0" w:type="dxa"/>
        </w:tblCellMar>
      </w:tblPr>
      <w:tblGrid>
        <w:gridCol w:w="4899"/>
        <w:gridCol w:w="4899"/>
      </w:tblGrid>
      <w:tr w14:paraId="206F930B">
        <w:tblPrEx>
          <w:tblCellMar>
            <w:top w:w="0" w:type="dxa"/>
            <w:left w:w="0" w:type="dxa"/>
            <w:bottom w:w="0" w:type="dxa"/>
            <w:right w:w="0" w:type="dxa"/>
          </w:tblCellMar>
        </w:tblPrEx>
        <w:trPr>
          <w:trHeight w:val="592" w:hRule="atLeast"/>
        </w:trPr>
        <w:tc>
          <w:tcPr>
            <w:tcW w:w="4899" w:type="dxa"/>
            <w:tcMar>
              <w:top w:w="0" w:type="dxa"/>
              <w:left w:w="108" w:type="dxa"/>
              <w:bottom w:w="0" w:type="dxa"/>
              <w:right w:w="108" w:type="dxa"/>
            </w:tcMar>
          </w:tcPr>
          <w:p w14:paraId="2B6CC296">
            <w:pPr>
              <w:spacing w:line="360" w:lineRule="auto"/>
              <w:rPr>
                <w:b/>
                <w:kern w:val="0"/>
                <w:szCs w:val="21"/>
              </w:rPr>
            </w:pPr>
            <w:r>
              <w:rPr>
                <w:rFonts w:hint="eastAsia"/>
                <w:b/>
                <w:kern w:val="0"/>
                <w:szCs w:val="21"/>
              </w:rPr>
              <w:t>甲方（盖章）：</w:t>
            </w:r>
          </w:p>
        </w:tc>
        <w:tc>
          <w:tcPr>
            <w:tcW w:w="4899" w:type="dxa"/>
            <w:tcMar>
              <w:top w:w="0" w:type="dxa"/>
              <w:left w:w="108" w:type="dxa"/>
              <w:bottom w:w="0" w:type="dxa"/>
              <w:right w:w="108" w:type="dxa"/>
            </w:tcMar>
          </w:tcPr>
          <w:p w14:paraId="32DED270">
            <w:pPr>
              <w:spacing w:line="360" w:lineRule="auto"/>
              <w:rPr>
                <w:b/>
                <w:kern w:val="0"/>
                <w:szCs w:val="21"/>
              </w:rPr>
            </w:pPr>
            <w:r>
              <w:rPr>
                <w:rFonts w:hint="eastAsia"/>
                <w:b/>
                <w:kern w:val="0"/>
                <w:szCs w:val="21"/>
              </w:rPr>
              <w:t>乙方(盖章)：</w:t>
            </w:r>
          </w:p>
        </w:tc>
      </w:tr>
      <w:tr w14:paraId="34D8ACA3">
        <w:tblPrEx>
          <w:tblCellMar>
            <w:top w:w="0" w:type="dxa"/>
            <w:left w:w="0" w:type="dxa"/>
            <w:bottom w:w="0" w:type="dxa"/>
            <w:right w:w="0" w:type="dxa"/>
          </w:tblCellMar>
        </w:tblPrEx>
        <w:trPr>
          <w:trHeight w:val="592" w:hRule="atLeast"/>
        </w:trPr>
        <w:tc>
          <w:tcPr>
            <w:tcW w:w="4899" w:type="dxa"/>
            <w:tcMar>
              <w:top w:w="0" w:type="dxa"/>
              <w:left w:w="108" w:type="dxa"/>
              <w:bottom w:w="0" w:type="dxa"/>
              <w:right w:w="108" w:type="dxa"/>
            </w:tcMar>
          </w:tcPr>
          <w:p w14:paraId="50B8935B">
            <w:pPr>
              <w:spacing w:line="360" w:lineRule="auto"/>
              <w:rPr>
                <w:kern w:val="0"/>
                <w:szCs w:val="21"/>
              </w:rPr>
            </w:pPr>
          </w:p>
        </w:tc>
        <w:tc>
          <w:tcPr>
            <w:tcW w:w="4899" w:type="dxa"/>
            <w:tcMar>
              <w:top w:w="0" w:type="dxa"/>
              <w:left w:w="108" w:type="dxa"/>
              <w:bottom w:w="0" w:type="dxa"/>
              <w:right w:w="108" w:type="dxa"/>
            </w:tcMar>
          </w:tcPr>
          <w:p w14:paraId="6A335010">
            <w:pPr>
              <w:spacing w:line="360" w:lineRule="auto"/>
              <w:ind w:firstLine="420" w:firstLineChars="200"/>
              <w:rPr>
                <w:kern w:val="0"/>
                <w:szCs w:val="21"/>
                <w:u w:val="single"/>
              </w:rPr>
            </w:pPr>
          </w:p>
        </w:tc>
      </w:tr>
      <w:tr w14:paraId="1CCEBF1A">
        <w:tblPrEx>
          <w:tblCellMar>
            <w:top w:w="0" w:type="dxa"/>
            <w:left w:w="0" w:type="dxa"/>
            <w:bottom w:w="0" w:type="dxa"/>
            <w:right w:w="0" w:type="dxa"/>
          </w:tblCellMar>
        </w:tblPrEx>
        <w:trPr>
          <w:trHeight w:val="574" w:hRule="atLeast"/>
        </w:trPr>
        <w:tc>
          <w:tcPr>
            <w:tcW w:w="4899" w:type="dxa"/>
            <w:tcMar>
              <w:top w:w="0" w:type="dxa"/>
              <w:left w:w="108" w:type="dxa"/>
              <w:bottom w:w="0" w:type="dxa"/>
              <w:right w:w="108" w:type="dxa"/>
            </w:tcMar>
          </w:tcPr>
          <w:p w14:paraId="6EB9FC71">
            <w:pPr>
              <w:spacing w:line="360" w:lineRule="auto"/>
              <w:rPr>
                <w:kern w:val="0"/>
                <w:szCs w:val="21"/>
              </w:rPr>
            </w:pPr>
            <w:r>
              <w:rPr>
                <w:rFonts w:hint="eastAsia"/>
                <w:kern w:val="0"/>
                <w:szCs w:val="21"/>
              </w:rPr>
              <w:t>地址：</w:t>
            </w:r>
          </w:p>
        </w:tc>
        <w:tc>
          <w:tcPr>
            <w:tcW w:w="4899" w:type="dxa"/>
            <w:tcMar>
              <w:top w:w="0" w:type="dxa"/>
              <w:left w:w="108" w:type="dxa"/>
              <w:bottom w:w="0" w:type="dxa"/>
              <w:right w:w="108" w:type="dxa"/>
            </w:tcMar>
          </w:tcPr>
          <w:p w14:paraId="7EF2C574">
            <w:pPr>
              <w:spacing w:line="360" w:lineRule="auto"/>
              <w:ind w:left="735" w:hanging="735" w:hangingChars="350"/>
              <w:rPr>
                <w:kern w:val="0"/>
                <w:szCs w:val="21"/>
              </w:rPr>
            </w:pPr>
            <w:r>
              <w:rPr>
                <w:rFonts w:hint="eastAsia"/>
                <w:kern w:val="0"/>
                <w:szCs w:val="21"/>
              </w:rPr>
              <w:t>地址：</w:t>
            </w:r>
          </w:p>
        </w:tc>
      </w:tr>
      <w:tr w14:paraId="2D02BBEC">
        <w:tblPrEx>
          <w:tblCellMar>
            <w:top w:w="0" w:type="dxa"/>
            <w:left w:w="0" w:type="dxa"/>
            <w:bottom w:w="0" w:type="dxa"/>
            <w:right w:w="0" w:type="dxa"/>
          </w:tblCellMar>
        </w:tblPrEx>
        <w:trPr>
          <w:trHeight w:val="592" w:hRule="atLeast"/>
        </w:trPr>
        <w:tc>
          <w:tcPr>
            <w:tcW w:w="4899" w:type="dxa"/>
            <w:tcMar>
              <w:top w:w="0" w:type="dxa"/>
              <w:left w:w="108" w:type="dxa"/>
              <w:bottom w:w="0" w:type="dxa"/>
              <w:right w:w="108" w:type="dxa"/>
            </w:tcMar>
          </w:tcPr>
          <w:p w14:paraId="726DFAA7">
            <w:pPr>
              <w:spacing w:line="360" w:lineRule="auto"/>
              <w:rPr>
                <w:kern w:val="0"/>
                <w:szCs w:val="21"/>
              </w:rPr>
            </w:pPr>
            <w:r>
              <w:rPr>
                <w:rFonts w:hint="eastAsia"/>
                <w:kern w:val="0"/>
                <w:szCs w:val="21"/>
              </w:rPr>
              <w:t>电话：</w:t>
            </w:r>
          </w:p>
        </w:tc>
        <w:tc>
          <w:tcPr>
            <w:tcW w:w="4899" w:type="dxa"/>
            <w:tcMar>
              <w:top w:w="0" w:type="dxa"/>
              <w:left w:w="108" w:type="dxa"/>
              <w:bottom w:w="0" w:type="dxa"/>
              <w:right w:w="108" w:type="dxa"/>
            </w:tcMar>
          </w:tcPr>
          <w:p w14:paraId="44E30FED">
            <w:pPr>
              <w:spacing w:line="360" w:lineRule="auto"/>
              <w:rPr>
                <w:kern w:val="0"/>
                <w:szCs w:val="21"/>
              </w:rPr>
            </w:pPr>
            <w:r>
              <w:rPr>
                <w:rFonts w:hint="eastAsia"/>
                <w:kern w:val="0"/>
                <w:szCs w:val="21"/>
              </w:rPr>
              <w:t>电话：</w:t>
            </w:r>
          </w:p>
        </w:tc>
      </w:tr>
      <w:tr w14:paraId="3E8C4A82">
        <w:tblPrEx>
          <w:tblCellMar>
            <w:top w:w="0" w:type="dxa"/>
            <w:left w:w="0" w:type="dxa"/>
            <w:bottom w:w="0" w:type="dxa"/>
            <w:right w:w="0" w:type="dxa"/>
          </w:tblCellMar>
        </w:tblPrEx>
        <w:trPr>
          <w:trHeight w:val="1185" w:hRule="atLeast"/>
        </w:trPr>
        <w:tc>
          <w:tcPr>
            <w:tcW w:w="4899" w:type="dxa"/>
            <w:tcMar>
              <w:top w:w="0" w:type="dxa"/>
              <w:left w:w="108" w:type="dxa"/>
              <w:bottom w:w="0" w:type="dxa"/>
              <w:right w:w="108" w:type="dxa"/>
            </w:tcMar>
          </w:tcPr>
          <w:p w14:paraId="2F4D082F">
            <w:pPr>
              <w:spacing w:line="360" w:lineRule="auto"/>
              <w:rPr>
                <w:kern w:val="0"/>
                <w:szCs w:val="21"/>
              </w:rPr>
            </w:pPr>
            <w:r>
              <w:rPr>
                <w:rFonts w:hint="eastAsia"/>
                <w:kern w:val="0"/>
                <w:szCs w:val="21"/>
              </w:rPr>
              <w:t>法定代表人：</w:t>
            </w:r>
          </w:p>
          <w:p w14:paraId="1E866765">
            <w:pPr>
              <w:spacing w:line="360" w:lineRule="auto"/>
              <w:rPr>
                <w:kern w:val="0"/>
                <w:szCs w:val="21"/>
              </w:rPr>
            </w:pPr>
            <w:r>
              <w:rPr>
                <w:rFonts w:hint="eastAsia"/>
                <w:kern w:val="0"/>
                <w:szCs w:val="21"/>
              </w:rPr>
              <w:t>或授权委托人：</w:t>
            </w:r>
          </w:p>
        </w:tc>
        <w:tc>
          <w:tcPr>
            <w:tcW w:w="4899" w:type="dxa"/>
            <w:tcMar>
              <w:top w:w="0" w:type="dxa"/>
              <w:left w:w="108" w:type="dxa"/>
              <w:bottom w:w="0" w:type="dxa"/>
              <w:right w:w="108" w:type="dxa"/>
            </w:tcMar>
          </w:tcPr>
          <w:p w14:paraId="04F1D5A5">
            <w:pPr>
              <w:spacing w:line="360" w:lineRule="auto"/>
              <w:rPr>
                <w:kern w:val="0"/>
                <w:szCs w:val="21"/>
              </w:rPr>
            </w:pPr>
            <w:r>
              <w:rPr>
                <w:rFonts w:hint="eastAsia"/>
                <w:kern w:val="0"/>
                <w:szCs w:val="21"/>
              </w:rPr>
              <w:t>法定代表人：</w:t>
            </w:r>
          </w:p>
          <w:p w14:paraId="208CF715">
            <w:pPr>
              <w:spacing w:line="360" w:lineRule="auto"/>
              <w:rPr>
                <w:kern w:val="0"/>
                <w:szCs w:val="21"/>
              </w:rPr>
            </w:pPr>
            <w:r>
              <w:rPr>
                <w:rFonts w:hint="eastAsia"/>
                <w:kern w:val="0"/>
                <w:szCs w:val="21"/>
              </w:rPr>
              <w:t>或授权委托人：</w:t>
            </w:r>
          </w:p>
        </w:tc>
      </w:tr>
      <w:tr w14:paraId="7D46108B">
        <w:tblPrEx>
          <w:tblCellMar>
            <w:top w:w="0" w:type="dxa"/>
            <w:left w:w="0" w:type="dxa"/>
            <w:bottom w:w="0" w:type="dxa"/>
            <w:right w:w="0" w:type="dxa"/>
          </w:tblCellMar>
        </w:tblPrEx>
        <w:trPr>
          <w:trHeight w:val="574" w:hRule="atLeast"/>
        </w:trPr>
        <w:tc>
          <w:tcPr>
            <w:tcW w:w="4899" w:type="dxa"/>
            <w:tcMar>
              <w:top w:w="0" w:type="dxa"/>
              <w:left w:w="108" w:type="dxa"/>
              <w:bottom w:w="0" w:type="dxa"/>
              <w:right w:w="108" w:type="dxa"/>
            </w:tcMar>
          </w:tcPr>
          <w:p w14:paraId="5EFDCECE">
            <w:pPr>
              <w:spacing w:line="360" w:lineRule="auto"/>
              <w:rPr>
                <w:kern w:val="0"/>
                <w:szCs w:val="21"/>
              </w:rPr>
            </w:pPr>
            <w:r>
              <w:rPr>
                <w:rFonts w:hint="eastAsia"/>
                <w:kern w:val="0"/>
                <w:szCs w:val="21"/>
              </w:rPr>
              <w:t>签订日期：    年  月  日</w:t>
            </w:r>
          </w:p>
        </w:tc>
        <w:tc>
          <w:tcPr>
            <w:tcW w:w="4899" w:type="dxa"/>
            <w:tcMar>
              <w:top w:w="0" w:type="dxa"/>
              <w:left w:w="108" w:type="dxa"/>
              <w:bottom w:w="0" w:type="dxa"/>
              <w:right w:w="108" w:type="dxa"/>
            </w:tcMar>
          </w:tcPr>
          <w:p w14:paraId="67A6DA10">
            <w:pPr>
              <w:spacing w:line="360" w:lineRule="auto"/>
              <w:rPr>
                <w:kern w:val="0"/>
                <w:szCs w:val="21"/>
              </w:rPr>
            </w:pPr>
            <w:r>
              <w:rPr>
                <w:rFonts w:hint="eastAsia"/>
                <w:kern w:val="0"/>
                <w:szCs w:val="21"/>
              </w:rPr>
              <w:t>签订日期：     年  月  日</w:t>
            </w:r>
          </w:p>
        </w:tc>
      </w:tr>
    </w:tbl>
    <w:p w14:paraId="3EF39FAB">
      <w:pPr>
        <w:ind w:firstLine="420" w:firstLineChars="200"/>
        <w:rPr>
          <w:rFonts w:ascii="宋体" w:hAnsi="宋体"/>
          <w:szCs w:val="21"/>
        </w:rPr>
      </w:pPr>
    </w:p>
    <w:p w14:paraId="230CB771">
      <w:pPr>
        <w:widowControl/>
        <w:jc w:val="left"/>
        <w:rPr>
          <w:rFonts w:ascii="黑体" w:hAnsi="宋体" w:eastAsia="黑体"/>
          <w:bCs/>
          <w:kern w:val="0"/>
          <w:sz w:val="24"/>
        </w:rPr>
      </w:pPr>
      <w:r>
        <w:rPr>
          <w:rFonts w:ascii="黑体" w:eastAsia="黑体"/>
          <w:b/>
          <w:kern w:val="0"/>
          <w:sz w:val="24"/>
        </w:rPr>
        <w:br w:type="page"/>
      </w:r>
    </w:p>
    <w:p w14:paraId="39C7FD5A">
      <w:pPr>
        <w:pStyle w:val="3"/>
        <w:jc w:val="center"/>
        <w:rPr>
          <w:rFonts w:ascii="黑体" w:eastAsia="黑体"/>
          <w:b w:val="0"/>
          <w:kern w:val="0"/>
          <w:sz w:val="24"/>
          <w:szCs w:val="24"/>
        </w:rPr>
      </w:pPr>
      <w:r>
        <w:rPr>
          <w:rFonts w:hint="eastAsia" w:ascii="黑体" w:eastAsia="黑体"/>
          <w:b w:val="0"/>
          <w:kern w:val="0"/>
          <w:sz w:val="24"/>
          <w:szCs w:val="24"/>
        </w:rPr>
        <w:t>二、政府采购履约情况反馈表</w:t>
      </w:r>
    </w:p>
    <w:p w14:paraId="4DD2D9F3">
      <w:pPr>
        <w:spacing w:line="240" w:lineRule="atLeast"/>
        <w:rPr>
          <w:rFonts w:ascii="宋体" w:hAnsi="宋体"/>
          <w:b/>
          <w:szCs w:val="21"/>
        </w:rPr>
      </w:pPr>
      <w:r>
        <w:rPr>
          <w:rFonts w:hint="eastAsia" w:ascii="宋体" w:hAnsi="宋体"/>
          <w:b/>
          <w:szCs w:val="21"/>
        </w:rPr>
        <w:t>采购人名称：                       联系人及电话：</w:t>
      </w:r>
    </w:p>
    <w:p w14:paraId="457D44CA">
      <w:pPr>
        <w:spacing w:line="60" w:lineRule="exact"/>
        <w:rPr>
          <w:rFonts w:ascii="宋体" w:hAnsi="宋体"/>
          <w:b/>
          <w:szCs w:val="21"/>
        </w:rPr>
      </w:pPr>
    </w:p>
    <w:tbl>
      <w:tblPr>
        <w:tblStyle w:val="55"/>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4B1FE2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2C2A7B86">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14:paraId="1A91462D">
            <w:pPr>
              <w:spacing w:line="240" w:lineRule="atLeast"/>
              <w:jc w:val="center"/>
              <w:rPr>
                <w:rFonts w:ascii="宋体" w:hAnsi="宋体"/>
                <w:szCs w:val="21"/>
              </w:rPr>
            </w:pPr>
          </w:p>
        </w:tc>
        <w:tc>
          <w:tcPr>
            <w:tcW w:w="1980" w:type="dxa"/>
            <w:vAlign w:val="center"/>
          </w:tcPr>
          <w:p w14:paraId="60499C1E">
            <w:pPr>
              <w:spacing w:line="240" w:lineRule="atLeast"/>
              <w:jc w:val="center"/>
              <w:rPr>
                <w:rFonts w:ascii="宋体" w:hAnsi="宋体"/>
                <w:szCs w:val="21"/>
              </w:rPr>
            </w:pPr>
            <w:r>
              <w:rPr>
                <w:rFonts w:hint="eastAsia" w:ascii="宋体" w:hAnsi="宋体"/>
                <w:szCs w:val="21"/>
              </w:rPr>
              <w:t>项目编号</w:t>
            </w:r>
          </w:p>
        </w:tc>
        <w:tc>
          <w:tcPr>
            <w:tcW w:w="2135" w:type="dxa"/>
            <w:vAlign w:val="center"/>
          </w:tcPr>
          <w:p w14:paraId="0AE06EA7">
            <w:pPr>
              <w:spacing w:line="240" w:lineRule="atLeast"/>
              <w:jc w:val="center"/>
              <w:rPr>
                <w:rFonts w:ascii="宋体" w:hAnsi="宋体"/>
                <w:szCs w:val="21"/>
              </w:rPr>
            </w:pPr>
          </w:p>
        </w:tc>
      </w:tr>
      <w:tr w14:paraId="733E0E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48B86826">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14:paraId="33C8AECE">
            <w:pPr>
              <w:spacing w:line="240" w:lineRule="atLeast"/>
              <w:jc w:val="center"/>
              <w:rPr>
                <w:rFonts w:ascii="宋体" w:hAnsi="宋体"/>
                <w:szCs w:val="21"/>
              </w:rPr>
            </w:pPr>
          </w:p>
        </w:tc>
        <w:tc>
          <w:tcPr>
            <w:tcW w:w="1980" w:type="dxa"/>
            <w:vAlign w:val="center"/>
          </w:tcPr>
          <w:p w14:paraId="45302AFD">
            <w:pPr>
              <w:spacing w:line="240" w:lineRule="atLeast"/>
              <w:jc w:val="center"/>
              <w:rPr>
                <w:rFonts w:ascii="宋体" w:hAnsi="宋体"/>
                <w:szCs w:val="21"/>
              </w:rPr>
            </w:pPr>
            <w:r>
              <w:rPr>
                <w:rFonts w:hint="eastAsia" w:ascii="宋体" w:hAnsi="宋体"/>
                <w:szCs w:val="21"/>
              </w:rPr>
              <w:t>供应商</w:t>
            </w:r>
          </w:p>
          <w:p w14:paraId="2757D0D6">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14:paraId="1287E840">
            <w:pPr>
              <w:spacing w:line="240" w:lineRule="atLeast"/>
              <w:jc w:val="center"/>
              <w:rPr>
                <w:rFonts w:ascii="宋体" w:hAnsi="宋体"/>
                <w:szCs w:val="21"/>
              </w:rPr>
            </w:pPr>
          </w:p>
        </w:tc>
      </w:tr>
      <w:tr w14:paraId="76D204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0DC40867">
            <w:pPr>
              <w:spacing w:line="240" w:lineRule="atLeast"/>
              <w:jc w:val="center"/>
              <w:rPr>
                <w:rFonts w:ascii="宋体" w:hAnsi="宋体"/>
                <w:szCs w:val="21"/>
              </w:rPr>
            </w:pPr>
            <w:r>
              <w:rPr>
                <w:rFonts w:hint="eastAsia" w:ascii="宋体" w:hAnsi="宋体"/>
                <w:szCs w:val="21"/>
              </w:rPr>
              <w:t>中标金额</w:t>
            </w:r>
          </w:p>
        </w:tc>
        <w:tc>
          <w:tcPr>
            <w:tcW w:w="2520" w:type="dxa"/>
            <w:vAlign w:val="center"/>
          </w:tcPr>
          <w:p w14:paraId="3FB15320">
            <w:pPr>
              <w:spacing w:line="240" w:lineRule="atLeast"/>
              <w:jc w:val="center"/>
              <w:rPr>
                <w:rFonts w:ascii="宋体" w:hAnsi="宋体"/>
                <w:szCs w:val="21"/>
              </w:rPr>
            </w:pPr>
          </w:p>
        </w:tc>
        <w:tc>
          <w:tcPr>
            <w:tcW w:w="1980" w:type="dxa"/>
            <w:vAlign w:val="center"/>
          </w:tcPr>
          <w:p w14:paraId="7BD71D2E">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14:paraId="47D90F09">
            <w:pPr>
              <w:spacing w:line="240" w:lineRule="atLeast"/>
              <w:rPr>
                <w:rFonts w:ascii="宋体" w:hAnsi="宋体"/>
                <w:szCs w:val="21"/>
              </w:rPr>
            </w:pPr>
            <w:r>
              <w:rPr>
                <w:rFonts w:hint="eastAsia" w:ascii="宋体" w:hAnsi="宋体"/>
                <w:szCs w:val="21"/>
              </w:rPr>
              <w:t>自       至</w:t>
            </w:r>
          </w:p>
        </w:tc>
      </w:tr>
      <w:tr w14:paraId="5E3591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10926104">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14:paraId="511398F0">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14:paraId="03E32ADE">
            <w:pPr>
              <w:spacing w:line="240" w:lineRule="atLeast"/>
              <w:ind w:firstLine="105" w:firstLineChars="50"/>
              <w:jc w:val="center"/>
              <w:rPr>
                <w:rFonts w:ascii="宋体" w:hAnsi="宋体"/>
                <w:szCs w:val="21"/>
              </w:rPr>
            </w:pPr>
            <w:r>
              <w:rPr>
                <w:rFonts w:hint="eastAsia" w:ascii="宋体" w:hAnsi="宋体"/>
                <w:szCs w:val="21"/>
              </w:rPr>
              <w:t>□ 优          □ 良          □ 中           □ 差</w:t>
            </w:r>
          </w:p>
        </w:tc>
      </w:tr>
      <w:tr w14:paraId="3F9084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67A66529">
            <w:pPr>
              <w:spacing w:line="240" w:lineRule="atLeast"/>
              <w:jc w:val="center"/>
              <w:rPr>
                <w:rFonts w:ascii="宋体" w:hAnsi="宋体"/>
                <w:szCs w:val="21"/>
              </w:rPr>
            </w:pPr>
          </w:p>
        </w:tc>
        <w:tc>
          <w:tcPr>
            <w:tcW w:w="720" w:type="dxa"/>
            <w:vMerge w:val="restart"/>
            <w:tcBorders>
              <w:right w:val="single" w:color="auto" w:sz="4" w:space="0"/>
            </w:tcBorders>
            <w:vAlign w:val="center"/>
          </w:tcPr>
          <w:p w14:paraId="44A1B0CF">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14:paraId="6037F19D">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14:paraId="1E59028A">
            <w:pPr>
              <w:spacing w:line="240" w:lineRule="atLeast"/>
              <w:jc w:val="center"/>
              <w:rPr>
                <w:rFonts w:ascii="宋体" w:hAnsi="宋体"/>
                <w:szCs w:val="21"/>
              </w:rPr>
            </w:pPr>
            <w:r>
              <w:rPr>
                <w:rFonts w:hint="eastAsia" w:ascii="宋体" w:hAnsi="宋体"/>
                <w:szCs w:val="21"/>
              </w:rPr>
              <w:t xml:space="preserve"> □ 优          □ 良          □ 中           □ 差</w:t>
            </w:r>
          </w:p>
        </w:tc>
      </w:tr>
      <w:tr w14:paraId="4483BD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E489589">
            <w:pPr>
              <w:spacing w:line="240" w:lineRule="atLeast"/>
              <w:jc w:val="center"/>
              <w:rPr>
                <w:rFonts w:ascii="宋体" w:hAnsi="宋体"/>
                <w:szCs w:val="21"/>
              </w:rPr>
            </w:pPr>
          </w:p>
        </w:tc>
        <w:tc>
          <w:tcPr>
            <w:tcW w:w="720" w:type="dxa"/>
            <w:vMerge w:val="continue"/>
            <w:tcBorders>
              <w:right w:val="single" w:color="auto" w:sz="4" w:space="0"/>
            </w:tcBorders>
            <w:vAlign w:val="center"/>
          </w:tcPr>
          <w:p w14:paraId="1114C686">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61E9A2D7">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14:paraId="5EC52BB1">
            <w:pPr>
              <w:spacing w:line="240" w:lineRule="atLeast"/>
              <w:jc w:val="center"/>
              <w:rPr>
                <w:rFonts w:ascii="宋体" w:hAnsi="宋体"/>
                <w:szCs w:val="21"/>
              </w:rPr>
            </w:pPr>
            <w:r>
              <w:rPr>
                <w:rFonts w:hint="eastAsia" w:ascii="宋体" w:hAnsi="宋体"/>
                <w:szCs w:val="21"/>
              </w:rPr>
              <w:t xml:space="preserve"> □ 优          □ 良          □ 中           □ 差</w:t>
            </w:r>
          </w:p>
        </w:tc>
      </w:tr>
      <w:tr w14:paraId="42CB4F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1C30F8C5">
            <w:pPr>
              <w:spacing w:line="240" w:lineRule="atLeast"/>
              <w:jc w:val="center"/>
              <w:rPr>
                <w:rFonts w:ascii="宋体" w:hAnsi="宋体"/>
                <w:szCs w:val="21"/>
              </w:rPr>
            </w:pPr>
          </w:p>
        </w:tc>
        <w:tc>
          <w:tcPr>
            <w:tcW w:w="720" w:type="dxa"/>
            <w:vMerge w:val="continue"/>
            <w:tcBorders>
              <w:right w:val="single" w:color="auto" w:sz="4" w:space="0"/>
            </w:tcBorders>
            <w:vAlign w:val="center"/>
          </w:tcPr>
          <w:p w14:paraId="75E9AEE8">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56781E26">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14:paraId="3DFE0BC6">
            <w:pPr>
              <w:spacing w:line="240" w:lineRule="atLeast"/>
              <w:jc w:val="center"/>
              <w:rPr>
                <w:rFonts w:ascii="宋体" w:hAnsi="宋体"/>
                <w:szCs w:val="21"/>
              </w:rPr>
            </w:pPr>
            <w:r>
              <w:rPr>
                <w:rFonts w:hint="eastAsia" w:ascii="宋体" w:hAnsi="宋体"/>
                <w:szCs w:val="21"/>
              </w:rPr>
              <w:t xml:space="preserve"> □ 优          □ 良          □ 中           □ 差</w:t>
            </w:r>
          </w:p>
        </w:tc>
      </w:tr>
      <w:tr w14:paraId="25D5BE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19EC6CB9">
            <w:pPr>
              <w:spacing w:line="240" w:lineRule="atLeast"/>
              <w:jc w:val="center"/>
              <w:rPr>
                <w:rFonts w:ascii="宋体" w:hAnsi="宋体"/>
                <w:szCs w:val="21"/>
              </w:rPr>
            </w:pPr>
          </w:p>
        </w:tc>
        <w:tc>
          <w:tcPr>
            <w:tcW w:w="720" w:type="dxa"/>
            <w:vMerge w:val="continue"/>
            <w:tcBorders>
              <w:right w:val="single" w:color="auto" w:sz="4" w:space="0"/>
            </w:tcBorders>
            <w:vAlign w:val="center"/>
          </w:tcPr>
          <w:p w14:paraId="72945D17">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6F287C14">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14:paraId="724A507A">
            <w:pPr>
              <w:spacing w:line="240" w:lineRule="atLeast"/>
              <w:jc w:val="center"/>
              <w:rPr>
                <w:rFonts w:ascii="宋体" w:hAnsi="宋体"/>
                <w:szCs w:val="21"/>
              </w:rPr>
            </w:pPr>
            <w:r>
              <w:rPr>
                <w:rFonts w:hint="eastAsia" w:ascii="宋体" w:hAnsi="宋体"/>
                <w:szCs w:val="21"/>
              </w:rPr>
              <w:t xml:space="preserve"> □ 优          □ 良          □ 中           □ 差</w:t>
            </w:r>
          </w:p>
        </w:tc>
      </w:tr>
      <w:tr w14:paraId="749597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4290A4E">
            <w:pPr>
              <w:spacing w:line="240" w:lineRule="atLeast"/>
              <w:jc w:val="center"/>
              <w:rPr>
                <w:rFonts w:ascii="宋体" w:hAnsi="宋体"/>
                <w:szCs w:val="21"/>
              </w:rPr>
            </w:pPr>
          </w:p>
        </w:tc>
        <w:tc>
          <w:tcPr>
            <w:tcW w:w="720" w:type="dxa"/>
            <w:vMerge w:val="continue"/>
            <w:tcBorders>
              <w:right w:val="single" w:color="auto" w:sz="4" w:space="0"/>
            </w:tcBorders>
            <w:vAlign w:val="center"/>
          </w:tcPr>
          <w:p w14:paraId="7ED24798">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5E36E00F">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14:paraId="68559071">
            <w:pPr>
              <w:spacing w:line="240" w:lineRule="atLeast"/>
              <w:jc w:val="center"/>
              <w:rPr>
                <w:rFonts w:ascii="宋体" w:hAnsi="宋体"/>
                <w:szCs w:val="21"/>
              </w:rPr>
            </w:pPr>
            <w:r>
              <w:rPr>
                <w:rFonts w:hint="eastAsia" w:ascii="宋体" w:hAnsi="宋体"/>
                <w:szCs w:val="21"/>
              </w:rPr>
              <w:t xml:space="preserve"> □ 优          □ 良          □ 中           □ 差</w:t>
            </w:r>
          </w:p>
        </w:tc>
      </w:tr>
      <w:tr w14:paraId="09A5F6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F5EA39A">
            <w:pPr>
              <w:spacing w:line="240" w:lineRule="atLeast"/>
              <w:jc w:val="center"/>
              <w:rPr>
                <w:rFonts w:ascii="宋体" w:hAnsi="宋体"/>
                <w:szCs w:val="21"/>
              </w:rPr>
            </w:pPr>
          </w:p>
        </w:tc>
        <w:tc>
          <w:tcPr>
            <w:tcW w:w="720" w:type="dxa"/>
            <w:vMerge w:val="continue"/>
            <w:tcBorders>
              <w:right w:val="single" w:color="auto" w:sz="4" w:space="0"/>
            </w:tcBorders>
            <w:vAlign w:val="center"/>
          </w:tcPr>
          <w:p w14:paraId="55CD75DC">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1CD0F6E8">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14:paraId="623E3E44">
            <w:pPr>
              <w:spacing w:before="120" w:beforeLines="50" w:after="12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14:paraId="08E3D3CE">
            <w:pPr>
              <w:spacing w:before="120" w:beforeLines="50" w:after="120" w:afterLines="50" w:line="240" w:lineRule="atLeast"/>
              <w:rPr>
                <w:rFonts w:ascii="宋体" w:hAnsi="宋体"/>
                <w:szCs w:val="21"/>
              </w:rPr>
            </w:pPr>
            <w:r>
              <w:rPr>
                <w:rFonts w:hint="eastAsia" w:ascii="宋体" w:hAnsi="宋体"/>
                <w:szCs w:val="21"/>
              </w:rPr>
              <w:t>评价等级为：  □ 优       □ 良        □ 中         □ 差</w:t>
            </w:r>
          </w:p>
        </w:tc>
      </w:tr>
      <w:tr w14:paraId="17E663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98" w:hRule="atLeast"/>
          <w:jc w:val="center"/>
        </w:trPr>
        <w:tc>
          <w:tcPr>
            <w:tcW w:w="1562" w:type="dxa"/>
            <w:gridSpan w:val="2"/>
            <w:vAlign w:val="center"/>
          </w:tcPr>
          <w:p w14:paraId="0D323530">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14:paraId="1FC20BC6">
            <w:pPr>
              <w:spacing w:line="240" w:lineRule="atLeast"/>
              <w:rPr>
                <w:rFonts w:ascii="宋体" w:hAnsi="宋体"/>
                <w:szCs w:val="21"/>
              </w:rPr>
            </w:pPr>
          </w:p>
          <w:p w14:paraId="29F06BA3">
            <w:pPr>
              <w:spacing w:line="240" w:lineRule="atLeast"/>
              <w:rPr>
                <w:rFonts w:ascii="宋体" w:hAnsi="宋体"/>
                <w:szCs w:val="21"/>
              </w:rPr>
            </w:pPr>
          </w:p>
          <w:p w14:paraId="272E311C">
            <w:pPr>
              <w:spacing w:line="240" w:lineRule="atLeast"/>
              <w:rPr>
                <w:rFonts w:ascii="宋体" w:hAnsi="宋体"/>
                <w:szCs w:val="21"/>
              </w:rPr>
            </w:pPr>
          </w:p>
          <w:p w14:paraId="2E222A72">
            <w:pPr>
              <w:spacing w:line="240" w:lineRule="atLeast"/>
              <w:rPr>
                <w:rFonts w:ascii="宋体" w:hAnsi="宋体"/>
                <w:szCs w:val="21"/>
              </w:rPr>
            </w:pPr>
          </w:p>
          <w:p w14:paraId="101DAA89">
            <w:pPr>
              <w:spacing w:line="240" w:lineRule="atLeast"/>
              <w:rPr>
                <w:rFonts w:ascii="宋体" w:hAnsi="宋体"/>
                <w:szCs w:val="21"/>
              </w:rPr>
            </w:pPr>
          </w:p>
        </w:tc>
      </w:tr>
      <w:tr w14:paraId="47E228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68" w:hRule="atLeast"/>
          <w:jc w:val="center"/>
        </w:trPr>
        <w:tc>
          <w:tcPr>
            <w:tcW w:w="1562" w:type="dxa"/>
            <w:gridSpan w:val="2"/>
            <w:vAlign w:val="center"/>
          </w:tcPr>
          <w:p w14:paraId="75A6FEB1">
            <w:pPr>
              <w:spacing w:line="240" w:lineRule="atLeast"/>
              <w:jc w:val="center"/>
              <w:rPr>
                <w:rFonts w:ascii="宋体" w:hAnsi="宋体"/>
                <w:szCs w:val="21"/>
              </w:rPr>
            </w:pPr>
            <w:r>
              <w:rPr>
                <w:rFonts w:hint="eastAsia" w:ascii="宋体" w:hAnsi="宋体"/>
                <w:szCs w:val="21"/>
              </w:rPr>
              <w:t>采购人意见</w:t>
            </w:r>
          </w:p>
          <w:p w14:paraId="4A5DB23C">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14:paraId="46823A19">
            <w:pPr>
              <w:spacing w:line="240" w:lineRule="atLeast"/>
              <w:rPr>
                <w:rFonts w:ascii="宋体" w:hAnsi="宋体"/>
                <w:szCs w:val="21"/>
              </w:rPr>
            </w:pPr>
          </w:p>
          <w:p w14:paraId="1CE96F2A">
            <w:pPr>
              <w:spacing w:line="240" w:lineRule="atLeast"/>
              <w:rPr>
                <w:rFonts w:ascii="宋体" w:hAnsi="宋体"/>
                <w:szCs w:val="21"/>
              </w:rPr>
            </w:pPr>
            <w:r>
              <w:rPr>
                <w:rFonts w:hint="eastAsia" w:ascii="宋体" w:hAnsi="宋体"/>
                <w:szCs w:val="21"/>
              </w:rPr>
              <w:t xml:space="preserve">                                        </w:t>
            </w:r>
          </w:p>
          <w:p w14:paraId="3B0E73C9">
            <w:pPr>
              <w:spacing w:line="240" w:lineRule="atLeast"/>
              <w:ind w:firstLine="3780" w:firstLineChars="1800"/>
              <w:rPr>
                <w:rFonts w:ascii="宋体" w:hAnsi="宋体"/>
                <w:szCs w:val="21"/>
              </w:rPr>
            </w:pPr>
          </w:p>
          <w:p w14:paraId="6CD64FC7">
            <w:pPr>
              <w:spacing w:line="240" w:lineRule="atLeast"/>
              <w:ind w:firstLine="3780" w:firstLineChars="1800"/>
              <w:rPr>
                <w:rFonts w:ascii="宋体" w:hAnsi="宋体"/>
                <w:szCs w:val="21"/>
              </w:rPr>
            </w:pPr>
            <w:r>
              <w:rPr>
                <w:rFonts w:hint="eastAsia" w:ascii="宋体" w:hAnsi="宋体"/>
                <w:szCs w:val="21"/>
              </w:rPr>
              <w:t>日期：   年   月   日</w:t>
            </w:r>
          </w:p>
        </w:tc>
      </w:tr>
    </w:tbl>
    <w:p w14:paraId="6428E6E2">
      <w:pPr>
        <w:spacing w:line="240" w:lineRule="atLeast"/>
        <w:rPr>
          <w:rFonts w:ascii="宋体" w:hAnsi="宋体"/>
          <w:szCs w:val="21"/>
        </w:rPr>
      </w:pPr>
      <w:r>
        <w:rPr>
          <w:rFonts w:hint="eastAsia" w:ascii="宋体" w:hAnsi="宋体"/>
          <w:szCs w:val="21"/>
        </w:rPr>
        <w:t>说明：</w:t>
      </w:r>
    </w:p>
    <w:p w14:paraId="4731E370">
      <w:pPr>
        <w:spacing w:line="240" w:lineRule="atLeast"/>
        <w:rPr>
          <w:rFonts w:ascii="宋体" w:hAnsi="宋体"/>
          <w:szCs w:val="21"/>
        </w:rPr>
      </w:pPr>
      <w:r>
        <w:rPr>
          <w:rFonts w:hint="eastAsia" w:ascii="宋体" w:hAnsi="宋体"/>
          <w:szCs w:val="21"/>
        </w:rPr>
        <w:t>履约情况评价分为优、良、中、差四个等级，请在对应的框前打“√”，然后在“具体情况说明”一栏详细说明有关情况。</w:t>
      </w:r>
    </w:p>
    <w:p w14:paraId="5DA1FCBC">
      <w:pPr>
        <w:widowControl/>
        <w:jc w:val="left"/>
        <w:rPr>
          <w:rFonts w:ascii="宋体" w:hAnsi="宋体"/>
          <w:szCs w:val="21"/>
        </w:rPr>
      </w:pPr>
    </w:p>
    <w:p w14:paraId="70DB52C3">
      <w:pPr>
        <w:rPr>
          <w:rFonts w:ascii="宋体" w:hAnsi="宋体"/>
          <w:b/>
          <w:bCs/>
          <w:kern w:val="0"/>
          <w:sz w:val="24"/>
          <w:szCs w:val="20"/>
        </w:rPr>
      </w:pPr>
      <w:r>
        <w:rPr>
          <w:rFonts w:hint="eastAsia" w:ascii="宋体" w:hAnsi="宋体"/>
          <w:b/>
          <w:bCs/>
          <w:kern w:val="0"/>
          <w:sz w:val="24"/>
          <w:szCs w:val="20"/>
        </w:rPr>
        <w:br w:type="page"/>
      </w:r>
    </w:p>
    <w:p w14:paraId="72B41A63">
      <w:pPr>
        <w:jc w:val="center"/>
        <w:rPr>
          <w:rFonts w:ascii="宋体" w:hAnsi="宋体"/>
          <w:b/>
          <w:bCs/>
          <w:kern w:val="0"/>
          <w:sz w:val="24"/>
          <w:szCs w:val="20"/>
        </w:rPr>
      </w:pPr>
      <w:r>
        <w:rPr>
          <w:rFonts w:hint="eastAsia" w:ascii="宋体" w:hAnsi="宋体"/>
          <w:b/>
          <w:bCs/>
          <w:kern w:val="0"/>
          <w:sz w:val="24"/>
          <w:szCs w:val="20"/>
        </w:rPr>
        <w:t>第五章  附件</w:t>
      </w:r>
    </w:p>
    <w:p w14:paraId="7ABB2D08">
      <w:pPr>
        <w:jc w:val="center"/>
        <w:rPr>
          <w:rFonts w:ascii="宋体" w:hAnsi="宋体"/>
          <w:b/>
          <w:bCs/>
          <w:kern w:val="0"/>
          <w:sz w:val="24"/>
          <w:szCs w:val="20"/>
        </w:rPr>
      </w:pPr>
    </w:p>
    <w:p w14:paraId="2767EE20">
      <w:pPr>
        <w:jc w:val="center"/>
        <w:rPr>
          <w:rFonts w:ascii="宋体" w:hAnsi="宋体"/>
          <w:b/>
          <w:bCs/>
          <w:kern w:val="0"/>
          <w:sz w:val="24"/>
          <w:szCs w:val="20"/>
        </w:rPr>
      </w:pPr>
    </w:p>
    <w:p w14:paraId="656CA772">
      <w:pPr>
        <w:keepNext/>
        <w:keepLines/>
        <w:jc w:val="center"/>
        <w:outlineLvl w:val="2"/>
        <w:rPr>
          <w:rFonts w:ascii="宋体" w:hAnsi="宋体"/>
          <w:b/>
          <w:bCs/>
          <w:kern w:val="0"/>
          <w:sz w:val="28"/>
          <w:szCs w:val="32"/>
        </w:rPr>
      </w:pPr>
      <w:bookmarkStart w:id="17" w:name="_Toc73610162"/>
      <w:bookmarkStart w:id="18" w:name="_Toc73613644"/>
      <w:r>
        <w:rPr>
          <w:rFonts w:hint="eastAsia" w:ascii="宋体" w:hAnsi="宋体"/>
          <w:b/>
          <w:bCs/>
          <w:kern w:val="0"/>
          <w:sz w:val="28"/>
          <w:szCs w:val="32"/>
        </w:rPr>
        <w:t>一、财政部 工业和信息化部关于印发《政府采购促进中小企业发展管理办法》的通知</w:t>
      </w:r>
      <w:bookmarkEnd w:id="17"/>
      <w:bookmarkEnd w:id="18"/>
    </w:p>
    <w:p w14:paraId="6FCF30B8">
      <w:pPr>
        <w:widowControl/>
        <w:shd w:val="clear" w:color="auto" w:fill="FFFFFF"/>
        <w:spacing w:before="100" w:beforeAutospacing="1" w:after="100" w:afterAutospacing="1" w:line="360" w:lineRule="auto"/>
        <w:jc w:val="center"/>
        <w:rPr>
          <w:rFonts w:ascii="宋体" w:hAnsi="宋体" w:cs="宋体"/>
          <w:color w:val="000000"/>
          <w:kern w:val="0"/>
          <w:szCs w:val="21"/>
        </w:rPr>
      </w:pPr>
      <w:r>
        <w:rPr>
          <w:rFonts w:hint="eastAsia" w:ascii="宋体" w:hAnsi="宋体" w:cs="宋体"/>
          <w:color w:val="000000"/>
          <w:kern w:val="0"/>
          <w:szCs w:val="21"/>
        </w:rPr>
        <w:t>财库〔2020〕46号</w:t>
      </w:r>
    </w:p>
    <w:p w14:paraId="7CF3BCDF">
      <w:pPr>
        <w:widowControl/>
        <w:shd w:val="clear" w:color="auto" w:fill="FFFFFF"/>
        <w:spacing w:line="360" w:lineRule="auto"/>
        <w:rPr>
          <w:rFonts w:ascii="宋体" w:hAnsi="宋体" w:cs="宋体"/>
          <w:color w:val="333333"/>
          <w:kern w:val="0"/>
          <w:szCs w:val="21"/>
        </w:rPr>
      </w:pPr>
      <w:r>
        <w:rPr>
          <w:rFonts w:hint="eastAsia" w:ascii="宋体" w:hAnsi="宋体" w:cs="宋体"/>
          <w:color w:val="333333"/>
          <w:kern w:val="0"/>
          <w:szCs w:val="21"/>
        </w:rPr>
        <w:t>各中央预算单位办公厅（室），各省、自治区、直辖市、计划单列市财政厅（局）、工业和信息化主管部门，新疆生产建设兵团财政局、工业和信息化主管部门：</w:t>
      </w:r>
    </w:p>
    <w:p w14:paraId="41FE3FD8">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B759E95">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附件：政府采购促进中小企业发展管理办法</w:t>
      </w:r>
    </w:p>
    <w:p w14:paraId="29646CB9">
      <w:pPr>
        <w:widowControl/>
        <w:shd w:val="clear" w:color="auto" w:fill="FFFFFF"/>
        <w:spacing w:line="360" w:lineRule="auto"/>
        <w:jc w:val="right"/>
        <w:rPr>
          <w:rFonts w:ascii="宋体" w:hAnsi="宋体" w:cs="宋体"/>
          <w:color w:val="333333"/>
          <w:kern w:val="0"/>
          <w:szCs w:val="21"/>
        </w:rPr>
      </w:pPr>
      <w:r>
        <w:rPr>
          <w:rFonts w:hint="eastAsia" w:ascii="宋体" w:hAnsi="宋体" w:cs="宋体"/>
          <w:color w:val="333333"/>
          <w:kern w:val="0"/>
          <w:szCs w:val="21"/>
        </w:rPr>
        <w:t>财　　政　　部</w:t>
      </w:r>
    </w:p>
    <w:p w14:paraId="4CDA2C81">
      <w:pPr>
        <w:widowControl/>
        <w:shd w:val="clear" w:color="auto" w:fill="FFFFFF"/>
        <w:spacing w:line="360" w:lineRule="auto"/>
        <w:jc w:val="right"/>
        <w:rPr>
          <w:rFonts w:ascii="宋体" w:hAnsi="宋体" w:cs="宋体"/>
          <w:color w:val="333333"/>
          <w:kern w:val="0"/>
          <w:szCs w:val="21"/>
        </w:rPr>
      </w:pPr>
      <w:r>
        <w:rPr>
          <w:rFonts w:hint="eastAsia" w:ascii="宋体" w:hAnsi="宋体" w:cs="宋体"/>
          <w:color w:val="333333"/>
          <w:kern w:val="0"/>
          <w:szCs w:val="21"/>
        </w:rPr>
        <w:t>工业和信息化部</w:t>
      </w:r>
    </w:p>
    <w:p w14:paraId="12DE9341">
      <w:pPr>
        <w:widowControl/>
        <w:shd w:val="clear" w:color="auto" w:fill="FFFFFF"/>
        <w:spacing w:line="360" w:lineRule="auto"/>
        <w:jc w:val="right"/>
        <w:rPr>
          <w:rFonts w:ascii="宋体" w:hAnsi="宋体" w:cs="宋体"/>
          <w:color w:val="333333"/>
          <w:kern w:val="0"/>
          <w:szCs w:val="21"/>
        </w:rPr>
      </w:pPr>
      <w:r>
        <w:rPr>
          <w:rFonts w:hint="eastAsia" w:ascii="宋体" w:hAnsi="宋体" w:cs="宋体"/>
          <w:color w:val="333333"/>
          <w:kern w:val="0"/>
          <w:szCs w:val="21"/>
        </w:rPr>
        <w:t>2020年12月18日</w:t>
      </w:r>
    </w:p>
    <w:p w14:paraId="0F2B2483">
      <w:pPr>
        <w:widowControl/>
        <w:shd w:val="clear" w:color="auto" w:fill="FFFFFF"/>
        <w:spacing w:line="360" w:lineRule="auto"/>
        <w:ind w:firstLine="480"/>
        <w:rPr>
          <w:rFonts w:ascii="宋体" w:hAnsi="宋体" w:cs="宋体"/>
          <w:color w:val="333333"/>
          <w:kern w:val="0"/>
          <w:szCs w:val="21"/>
        </w:rPr>
      </w:pPr>
    </w:p>
    <w:p w14:paraId="3FF40427">
      <w:pPr>
        <w:widowControl/>
        <w:shd w:val="clear" w:color="auto" w:fill="FFFFFF"/>
        <w:spacing w:line="360" w:lineRule="auto"/>
        <w:rPr>
          <w:rFonts w:ascii="宋体" w:hAnsi="宋体" w:cs="宋体"/>
          <w:color w:val="333333"/>
          <w:kern w:val="0"/>
          <w:szCs w:val="21"/>
        </w:rPr>
      </w:pPr>
      <w:r>
        <w:rPr>
          <w:rFonts w:hint="eastAsia" w:ascii="宋体" w:hAnsi="宋体" w:cs="宋体"/>
          <w:b/>
          <w:bCs/>
          <w:color w:val="333333"/>
          <w:kern w:val="0"/>
          <w:szCs w:val="21"/>
        </w:rPr>
        <w:t>附件</w:t>
      </w:r>
    </w:p>
    <w:p w14:paraId="58E41D51">
      <w:pPr>
        <w:widowControl/>
        <w:shd w:val="clear" w:color="auto" w:fill="FFFFFF"/>
        <w:spacing w:line="360" w:lineRule="auto"/>
        <w:ind w:firstLine="480"/>
        <w:rPr>
          <w:rFonts w:ascii="宋体" w:hAnsi="宋体" w:cs="宋体"/>
          <w:color w:val="333333"/>
          <w:kern w:val="0"/>
          <w:szCs w:val="21"/>
        </w:rPr>
      </w:pPr>
    </w:p>
    <w:p w14:paraId="2BCD0501">
      <w:pPr>
        <w:widowControl/>
        <w:shd w:val="clear" w:color="auto" w:fill="FFFFFF"/>
        <w:spacing w:line="360" w:lineRule="auto"/>
        <w:jc w:val="center"/>
        <w:rPr>
          <w:rFonts w:ascii="宋体" w:hAnsi="宋体" w:cs="宋体"/>
          <w:color w:val="333333"/>
          <w:kern w:val="0"/>
          <w:szCs w:val="21"/>
        </w:rPr>
      </w:pPr>
      <w:r>
        <w:rPr>
          <w:rFonts w:hint="eastAsia" w:ascii="宋体" w:hAnsi="宋体" w:cs="宋体"/>
          <w:b/>
          <w:bCs/>
          <w:color w:val="333333"/>
          <w:kern w:val="0"/>
          <w:szCs w:val="21"/>
        </w:rPr>
        <w:t>政府采购促进中小企业发展管理办法</w:t>
      </w:r>
    </w:p>
    <w:p w14:paraId="56588007">
      <w:pPr>
        <w:widowControl/>
        <w:shd w:val="clear" w:color="auto" w:fill="FFFFFF"/>
        <w:spacing w:line="360" w:lineRule="auto"/>
        <w:ind w:firstLine="480"/>
        <w:rPr>
          <w:rFonts w:ascii="宋体" w:hAnsi="宋体" w:cs="宋体"/>
          <w:color w:val="333333"/>
          <w:kern w:val="0"/>
          <w:szCs w:val="21"/>
        </w:rPr>
      </w:pPr>
    </w:p>
    <w:p w14:paraId="77ED838C">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第一条</w:t>
      </w:r>
      <w:r>
        <w:rPr>
          <w:rFonts w:hint="eastAsia" w:ascii="宋体" w:hAnsi="宋体" w:cs="宋体"/>
          <w:color w:val="333333"/>
          <w:kern w:val="0"/>
          <w:szCs w:val="21"/>
        </w:rPr>
        <w:t>　为了发挥政府采购的政策功能，促进中小企业健康发展，根据《中华人民共和国政府采购法》、《中华人民共和国中小企业促进法》等有关法律法规，制定本办法。</w:t>
      </w:r>
    </w:p>
    <w:p w14:paraId="1EF75486">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第二条</w:t>
      </w:r>
      <w:r>
        <w:rPr>
          <w:rFonts w:hint="eastAsia" w:ascii="宋体" w:hAnsi="宋体" w:cs="宋体"/>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62EC23A">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符合中小企业划分标准的个体工商户，在政府采购活动中视同中小企业。</w:t>
      </w:r>
    </w:p>
    <w:p w14:paraId="37137D3B">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第三条</w:t>
      </w:r>
      <w:r>
        <w:rPr>
          <w:rFonts w:hint="eastAsia" w:ascii="宋体" w:hAnsi="宋体" w:cs="宋体"/>
          <w:color w:val="333333"/>
          <w:kern w:val="0"/>
          <w:szCs w:val="21"/>
        </w:rPr>
        <w:t>　采购人在政府采购活动中应当通过加强采购需求管理，落实预留采购份额、价格评审优惠、优先采购等措施，提高中小企业在政府采购中的份额，支持中小企业发展。</w:t>
      </w:r>
    </w:p>
    <w:p w14:paraId="06E32177">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第四条</w:t>
      </w:r>
      <w:r>
        <w:rPr>
          <w:rFonts w:hint="eastAsia" w:ascii="宋体" w:hAnsi="宋体" w:cs="宋体"/>
          <w:color w:val="333333"/>
          <w:kern w:val="0"/>
          <w:szCs w:val="21"/>
        </w:rPr>
        <w:t>　在政府采购活动中，供应商提供的货物、工程或者服务符合下列情形的，享受本办法规定的中小企业扶持政策：</w:t>
      </w:r>
    </w:p>
    <w:p w14:paraId="2663A3B5">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（一）在货物采购项目中，货物由中小企业制造，即货物由中小企业生产且使用该中小企业商号或者注册商标；</w:t>
      </w:r>
    </w:p>
    <w:p w14:paraId="36AF4D6F">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（二）在工程采购项目中，工程由中小企业承建，即工程施工单位为中小企业；</w:t>
      </w:r>
    </w:p>
    <w:p w14:paraId="0F80CB73">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（三）在服务采购项目中，服务由中小企业承接，即提供服务的人员为中小企业依照《中华人民共和国劳动合同法》订立劳动合同的从业人员。</w:t>
      </w:r>
    </w:p>
    <w:p w14:paraId="125507ED">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在货物采购项目中，供应商提供的货物既有中小企业制造货物，也有大型企业制造货物的，不享受本办法规定的中小企业扶持政策。</w:t>
      </w:r>
    </w:p>
    <w:p w14:paraId="09BC8026">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以联合体形式参加政府采购活动，联合体各方均为中小企业的，联合体视同中小企业。其中，联合体各方均为小微企业的，联合体视同小微企业。</w:t>
      </w:r>
    </w:p>
    <w:p w14:paraId="1595018E">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第五条</w:t>
      </w:r>
      <w:r>
        <w:rPr>
          <w:rFonts w:hint="eastAsia" w:ascii="宋体" w:hAnsi="宋体" w:cs="宋体"/>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C054DEC">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第六条</w:t>
      </w:r>
      <w:r>
        <w:rPr>
          <w:rFonts w:hint="eastAsia" w:ascii="宋体" w:hAnsi="宋体" w:cs="宋体"/>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708BF54">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符合下列情形之一的，可不专门面向中小企业预留采购份额：</w:t>
      </w:r>
    </w:p>
    <w:p w14:paraId="4418CDAC">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（一）法律法规和国家有关政策明确规定优先或者应当面向事业单位、社会组织等非企业主体采购的；</w:t>
      </w:r>
    </w:p>
    <w:p w14:paraId="456B70E8">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（二）因确需使用不可替代的专利、专有技术，基础设施限制，或者提供特定公共服务等原因，只能从中小企业之外的供应商处采购的；</w:t>
      </w:r>
    </w:p>
    <w:p w14:paraId="63F70EBA">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（三）按照本办法规定预留采购份额无法确保充分供应、充分竞争，或者存在可能影响政府采购目标实现的情形；</w:t>
      </w:r>
    </w:p>
    <w:p w14:paraId="24683656">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（四）框架协议采购项目；</w:t>
      </w:r>
    </w:p>
    <w:p w14:paraId="4DE4A1FF">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（五）省级以上人民政府财政部门规定的其他情形。</w:t>
      </w:r>
    </w:p>
    <w:p w14:paraId="04774BE3">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除上述情形外，其他均为适宜由中小企业提供的情形。</w:t>
      </w:r>
    </w:p>
    <w:p w14:paraId="7CE2473A">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第七条</w:t>
      </w:r>
      <w:r>
        <w:rPr>
          <w:rFonts w:hint="eastAsia" w:ascii="宋体" w:hAnsi="宋体" w:cs="宋体"/>
          <w:color w:val="333333"/>
          <w:kern w:val="0"/>
          <w:szCs w:val="21"/>
        </w:rPr>
        <w:t>　采购限额标准以上，200万元以下的货物和服务采购项目、400万元以下的工程采购项目，适宜由中小企业提供的，采购人应当专门面向中小企业采购。</w:t>
      </w:r>
    </w:p>
    <w:p w14:paraId="5FB73BCF">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第八条</w:t>
      </w:r>
      <w:r>
        <w:rPr>
          <w:rFonts w:hint="eastAsia" w:ascii="宋体" w:hAnsi="宋体" w:cs="宋体"/>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74460E1">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（一）将采购项目整体或者设置采购包专门面向中小企业采购；</w:t>
      </w:r>
    </w:p>
    <w:p w14:paraId="1DEBFBD3">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（二）要求供应商以联合体形式参加采购活动，且联合体中中小企业承担的部分达到一定比例；</w:t>
      </w:r>
    </w:p>
    <w:p w14:paraId="654F861C">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（三）要求获得采购合同的供应商将采购项目中的一定比例分包给一家或者多家中小企业。</w:t>
      </w:r>
    </w:p>
    <w:p w14:paraId="38F1D412">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组成联合体或者接受分包合同的中小企业与联合体内其他企业、分包企业之间不得存在直接控股、管理关系。</w:t>
      </w:r>
    </w:p>
    <w:p w14:paraId="45C884CD">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第九条</w:t>
      </w:r>
      <w:r>
        <w:rPr>
          <w:rFonts w:hint="eastAsia" w:ascii="宋体" w:hAnsi="宋体" w:cs="宋体"/>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0809D8B">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8A7C3D2">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A73668B">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第十条</w:t>
      </w:r>
      <w:r>
        <w:rPr>
          <w:rFonts w:hint="eastAsia" w:ascii="宋体" w:hAnsi="宋体" w:cs="宋体"/>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201475F">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第十一条</w:t>
      </w:r>
      <w:r>
        <w:rPr>
          <w:rFonts w:hint="eastAsia" w:ascii="宋体" w:hAnsi="宋体" w:cs="宋体"/>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2C725B4D">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第十二条</w:t>
      </w:r>
      <w:r>
        <w:rPr>
          <w:rFonts w:hint="eastAsia" w:ascii="宋体" w:hAnsi="宋体" w:cs="宋体"/>
          <w:color w:val="333333"/>
          <w:kern w:val="0"/>
          <w:szCs w:val="21"/>
        </w:rPr>
        <w:t>　采购项目涉及中小企业采购的，采购文件应当明确以下内容：</w:t>
      </w:r>
    </w:p>
    <w:p w14:paraId="1158B5DD">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（一）预留份额的采购项目或者采购包，明确该项目或相关采购包专门面向中小企业采购，以及相关标的及预算金额；</w:t>
      </w:r>
    </w:p>
    <w:p w14:paraId="113A3E63">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（二）要求以联合体形式参加或者合同分包的，明确联合协议或者分包意向协议中中小企业合同金额应当达到的比例，并作为供应商资格条件；</w:t>
      </w:r>
    </w:p>
    <w:p w14:paraId="01F9CF98">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（三）非预留份额的采购项目或者采购包，明确有关价格扣除比例或者价格分加分比例；</w:t>
      </w:r>
    </w:p>
    <w:p w14:paraId="0158FCFE">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（四）规定依据本办法规定享受扶持政策获得政府采购合同的，小微企业不得将合同分包给大中型企业，中型企业不得将合同分包给大型企业；</w:t>
      </w:r>
    </w:p>
    <w:p w14:paraId="0D737E74">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（五）采购人认为具备相关条件的，明确对中小企业在资金支付期限、预付款比例等方面的优惠措施；</w:t>
      </w:r>
    </w:p>
    <w:p w14:paraId="0343D8B8">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（六）明确采购标的对应的中小企业划分标准所属行业；</w:t>
      </w:r>
    </w:p>
    <w:p w14:paraId="54925534">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（七）法律法规和省级以上人民政府财政部门规定的其他事项。</w:t>
      </w:r>
    </w:p>
    <w:p w14:paraId="6790D24C">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第十三条</w:t>
      </w:r>
      <w:r>
        <w:rPr>
          <w:rFonts w:hint="eastAsia" w:ascii="宋体" w:hAnsi="宋体" w:cs="宋体"/>
          <w:color w:val="333333"/>
          <w:kern w:val="0"/>
          <w:szCs w:val="21"/>
        </w:rPr>
        <w:t>　中标、成交供应商享受本办法规定的中小企业扶持政策的，采购人、采购代理机构应当随中标、成交结果公开中标、成交供应商的《中小企业声明函》。</w:t>
      </w:r>
    </w:p>
    <w:p w14:paraId="232A52AE">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适用招标投标法的政府采购工程建设项目，应当在公示中标候选人时公开中标候选人的《中小企业声明函》。</w:t>
      </w:r>
    </w:p>
    <w:p w14:paraId="0ECDAE13">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第十四条</w:t>
      </w:r>
      <w:r>
        <w:rPr>
          <w:rFonts w:hint="eastAsia" w:ascii="宋体" w:hAnsi="宋体" w:cs="宋体"/>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78B79F7">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第十五条</w:t>
      </w:r>
      <w:r>
        <w:rPr>
          <w:rFonts w:hint="eastAsia" w:ascii="宋体" w:hAnsi="宋体" w:cs="宋体"/>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8A50E57">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第十六条</w:t>
      </w:r>
      <w:r>
        <w:rPr>
          <w:rFonts w:hint="eastAsia" w:ascii="宋体" w:hAnsi="宋体" w:cs="宋体"/>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3277EBCA">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中小企业主管部门应当在收到财政部门或者有关招标投标行政监督部门关于协助开展中小企业认定函后10个工作日内做出书面答复。</w:t>
      </w:r>
    </w:p>
    <w:p w14:paraId="5B4864F5">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第十七条</w:t>
      </w:r>
      <w:r>
        <w:rPr>
          <w:rFonts w:hint="eastAsia" w:ascii="宋体" w:hAnsi="宋体" w:cs="宋体"/>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175FB1CD">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第十八条</w:t>
      </w:r>
      <w:r>
        <w:rPr>
          <w:rFonts w:hint="eastAsia" w:ascii="宋体" w:hAnsi="宋体" w:cs="宋体"/>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37274D7">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第十九条</w:t>
      </w:r>
      <w:r>
        <w:rPr>
          <w:rFonts w:hint="eastAsia" w:ascii="宋体" w:hAnsi="宋体" w:cs="宋体"/>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0CEA423">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第二十条</w:t>
      </w:r>
      <w:r>
        <w:rPr>
          <w:rFonts w:hint="eastAsia" w:ascii="宋体" w:hAnsi="宋体" w:cs="宋体"/>
          <w:color w:val="333333"/>
          <w:kern w:val="0"/>
          <w:szCs w:val="21"/>
        </w:rPr>
        <w:t>　供应商按照本办法规定提供声明函内容不实的，属于提供虚假材料谋取中标、成交，依照《中华人民共和国政府采购法》等国家有关规定追究相应责任。</w:t>
      </w:r>
    </w:p>
    <w:p w14:paraId="59ECF6AF">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08D39FBE">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第二十一条</w:t>
      </w:r>
      <w:r>
        <w:rPr>
          <w:rFonts w:hint="eastAsia" w:ascii="宋体" w:hAnsi="宋体" w:cs="宋体"/>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15283A5">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第二十二条</w:t>
      </w:r>
      <w:r>
        <w:rPr>
          <w:rFonts w:hint="eastAsia" w:ascii="宋体" w:hAnsi="宋体" w:cs="宋体"/>
          <w:color w:val="333333"/>
          <w:kern w:val="0"/>
          <w:szCs w:val="21"/>
        </w:rPr>
        <w:t>　对外援助项目、国家相关资格或者资质管理制度另有规定的项目，不适用本办法。</w:t>
      </w:r>
    </w:p>
    <w:p w14:paraId="2A427E92">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第二十三条</w:t>
      </w:r>
      <w:r>
        <w:rPr>
          <w:rFonts w:hint="eastAsia" w:ascii="宋体" w:hAnsi="宋体" w:cs="宋体"/>
          <w:color w:val="333333"/>
          <w:kern w:val="0"/>
          <w:szCs w:val="21"/>
        </w:rPr>
        <w:t>　关于视同中小企业的其他主体的政府采购扶持政策，由财政部会同有关部门另行规定。</w:t>
      </w:r>
    </w:p>
    <w:p w14:paraId="5118CA67">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第二十四条</w:t>
      </w:r>
      <w:r>
        <w:rPr>
          <w:rFonts w:hint="eastAsia" w:ascii="宋体" w:hAnsi="宋体" w:cs="宋体"/>
          <w:color w:val="333333"/>
          <w:kern w:val="0"/>
          <w:szCs w:val="21"/>
        </w:rPr>
        <w:t>　省级财政部门可以会同中小企业主管部门根据本办法的规定制定具体实施办法。</w:t>
      </w:r>
    </w:p>
    <w:p w14:paraId="2C31FD4D">
      <w:pPr>
        <w:widowControl/>
        <w:shd w:val="clear" w:color="auto" w:fill="FFFFFF"/>
        <w:spacing w:line="360" w:lineRule="auto"/>
        <w:ind w:firstLine="480"/>
        <w:jc w:val="left"/>
        <w:rPr>
          <w:rFonts w:ascii="宋体" w:hAnsi="宋体" w:cs="宋体"/>
          <w:color w:val="333333"/>
          <w:kern w:val="0"/>
          <w:szCs w:val="21"/>
        </w:rPr>
      </w:pPr>
      <w:r>
        <w:rPr>
          <w:rFonts w:hint="eastAsia" w:ascii="宋体" w:hAnsi="宋体" w:cs="宋体"/>
          <w:b/>
          <w:bCs/>
          <w:color w:val="333333"/>
          <w:kern w:val="0"/>
          <w:szCs w:val="21"/>
        </w:rPr>
        <w:t>第二十五条</w:t>
      </w:r>
      <w:r>
        <w:rPr>
          <w:rFonts w:hint="eastAsia" w:ascii="宋体" w:hAnsi="宋体" w:cs="宋体"/>
          <w:color w:val="333333"/>
          <w:kern w:val="0"/>
          <w:szCs w:val="21"/>
        </w:rPr>
        <w:t>　本办法自2021年1月1日起施行。《财政部 工业和信息化部关于印发〈政府采购促进中小企业发展暂行办法〉的通知》（财库〔2011〕181号）同时废止。</w:t>
      </w:r>
    </w:p>
    <w:p w14:paraId="302E3E28">
      <w:pPr>
        <w:widowControl/>
        <w:shd w:val="clear" w:color="auto" w:fill="FFFFFF"/>
        <w:spacing w:line="360" w:lineRule="auto"/>
        <w:ind w:firstLine="480"/>
        <w:jc w:val="left"/>
        <w:rPr>
          <w:rFonts w:ascii="宋体" w:hAnsi="宋体" w:cs="宋体"/>
          <w:color w:val="333333"/>
          <w:kern w:val="0"/>
          <w:szCs w:val="21"/>
        </w:rPr>
      </w:pPr>
    </w:p>
    <w:p w14:paraId="5A0CA519">
      <w:pPr>
        <w:spacing w:line="360" w:lineRule="auto"/>
        <w:rPr>
          <w:rFonts w:ascii="宋体" w:hAnsi="宋体"/>
          <w:szCs w:val="21"/>
        </w:rPr>
      </w:pPr>
    </w:p>
    <w:p w14:paraId="516B9878">
      <w:pPr>
        <w:keepNext/>
        <w:keepLines/>
        <w:jc w:val="center"/>
        <w:outlineLvl w:val="2"/>
        <w:rPr>
          <w:rFonts w:ascii="宋体" w:hAnsi="宋体"/>
          <w:b/>
          <w:bCs/>
          <w:kern w:val="0"/>
          <w:sz w:val="28"/>
          <w:szCs w:val="32"/>
        </w:rPr>
      </w:pPr>
      <w:bookmarkStart w:id="19" w:name="_Toc73613645"/>
      <w:bookmarkStart w:id="20" w:name="_Toc73610163"/>
      <w:r>
        <w:rPr>
          <w:rFonts w:hint="eastAsia" w:ascii="宋体" w:hAnsi="宋体"/>
          <w:b/>
          <w:bCs/>
          <w:kern w:val="0"/>
          <w:sz w:val="28"/>
          <w:szCs w:val="32"/>
        </w:rPr>
        <w:t>二、关于印发中小企业划型标准规定的通知</w:t>
      </w:r>
      <w:bookmarkEnd w:id="19"/>
      <w:bookmarkEnd w:id="20"/>
    </w:p>
    <w:p w14:paraId="7E3379DC">
      <w:pPr>
        <w:widowControl/>
        <w:shd w:val="clear" w:color="auto" w:fill="FFFFFF"/>
        <w:spacing w:before="100" w:beforeAutospacing="1" w:after="100" w:afterAutospacing="1" w:line="360" w:lineRule="auto"/>
        <w:jc w:val="center"/>
        <w:rPr>
          <w:rFonts w:ascii="宋体" w:hAnsi="宋体" w:cs="宋体"/>
          <w:color w:val="000000"/>
          <w:kern w:val="0"/>
          <w:szCs w:val="21"/>
        </w:rPr>
      </w:pPr>
      <w:r>
        <w:rPr>
          <w:rFonts w:hint="eastAsia" w:ascii="宋体" w:hAnsi="宋体" w:cs="宋体"/>
          <w:color w:val="000000"/>
          <w:kern w:val="0"/>
          <w:szCs w:val="21"/>
        </w:rPr>
        <w:t>工信部联企业〔2011〕300号</w:t>
      </w:r>
    </w:p>
    <w:p w14:paraId="6F714932">
      <w:pPr>
        <w:widowControl/>
        <w:shd w:val="clear" w:color="auto" w:fill="FFFFFF"/>
        <w:spacing w:before="100" w:beforeAutospacing="1" w:after="100" w:afterAutospacing="1" w:line="360" w:lineRule="auto"/>
        <w:jc w:val="left"/>
        <w:rPr>
          <w:rFonts w:ascii="宋体" w:hAnsi="宋体" w:cs="宋体"/>
          <w:color w:val="000000"/>
          <w:kern w:val="0"/>
          <w:szCs w:val="21"/>
        </w:rPr>
      </w:pPr>
      <w:r>
        <w:rPr>
          <w:rFonts w:hint="eastAsia" w:ascii="宋体" w:hAnsi="宋体" w:cs="宋体"/>
          <w:color w:val="000000"/>
          <w:kern w:val="0"/>
          <w:szCs w:val="21"/>
        </w:rPr>
        <w:t>各省、自治区、直辖市人民政府，国务院各部委、各直属机构及有关单位：</w:t>
      </w:r>
      <w:r>
        <w:rPr>
          <w:rFonts w:hint="eastAsia" w:ascii="宋体" w:hAnsi="宋体" w:cs="宋体"/>
          <w:color w:val="000000"/>
          <w:kern w:val="0"/>
          <w:szCs w:val="21"/>
        </w:rPr>
        <w:br w:type="textWrapping"/>
      </w:r>
      <w:r>
        <w:rPr>
          <w:rFonts w:hint="eastAsia" w:ascii="宋体" w:hAnsi="宋体" w:cs="宋体"/>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4290426">
      <w:pPr>
        <w:widowControl/>
        <w:shd w:val="clear" w:color="auto" w:fill="FFFFFF"/>
        <w:spacing w:before="100" w:beforeAutospacing="1" w:after="100" w:afterAutospacing="1" w:line="360" w:lineRule="auto"/>
        <w:jc w:val="right"/>
        <w:rPr>
          <w:rFonts w:ascii="宋体" w:hAnsi="宋体" w:cs="宋体"/>
          <w:color w:val="000000"/>
          <w:kern w:val="0"/>
          <w:szCs w:val="21"/>
        </w:rPr>
      </w:pPr>
      <w:r>
        <w:rPr>
          <w:rFonts w:hint="eastAsia" w:ascii="宋体" w:hAnsi="宋体" w:cs="宋体"/>
          <w:color w:val="000000"/>
          <w:kern w:val="0"/>
          <w:szCs w:val="21"/>
        </w:rPr>
        <w:br w:type="textWrapping"/>
      </w:r>
      <w:r>
        <w:rPr>
          <w:rFonts w:hint="eastAsia" w:ascii="宋体" w:hAnsi="宋体" w:cs="宋体"/>
          <w:color w:val="000000"/>
          <w:kern w:val="0"/>
          <w:szCs w:val="21"/>
        </w:rPr>
        <w:t>　　　　　　　　　　　　　　　　　　　　　工业和信息化部　国家统计局</w:t>
      </w:r>
      <w:r>
        <w:rPr>
          <w:rFonts w:hint="eastAsia" w:ascii="宋体" w:hAnsi="宋体" w:cs="宋体"/>
          <w:color w:val="000000"/>
          <w:kern w:val="0"/>
          <w:szCs w:val="21"/>
        </w:rPr>
        <w:br w:type="textWrapping"/>
      </w:r>
      <w:r>
        <w:rPr>
          <w:rFonts w:hint="eastAsia" w:ascii="宋体" w:hAnsi="宋体" w:cs="宋体"/>
          <w:color w:val="000000"/>
          <w:kern w:val="0"/>
          <w:szCs w:val="21"/>
        </w:rPr>
        <w:t>　　　　　　　　　　　　　　　　　　　　国家发展和改革委员会　财政部</w:t>
      </w:r>
      <w:r>
        <w:rPr>
          <w:rFonts w:hint="eastAsia" w:ascii="宋体" w:hAnsi="宋体" w:cs="宋体"/>
          <w:color w:val="000000"/>
          <w:kern w:val="0"/>
          <w:szCs w:val="21"/>
        </w:rPr>
        <w:br w:type="textWrapping"/>
      </w:r>
      <w:r>
        <w:rPr>
          <w:rFonts w:hint="eastAsia" w:ascii="宋体" w:hAnsi="宋体" w:cs="宋体"/>
          <w:color w:val="000000"/>
          <w:kern w:val="0"/>
          <w:szCs w:val="21"/>
        </w:rPr>
        <w:t>　　　　　　　　　　　　　　　　　　　　　　　　二○一一年六月十八日</w:t>
      </w:r>
    </w:p>
    <w:p w14:paraId="3B93F3DF">
      <w:pPr>
        <w:widowControl/>
        <w:shd w:val="clear" w:color="auto" w:fill="FFFFFF"/>
        <w:spacing w:before="100" w:beforeAutospacing="1" w:after="100" w:afterAutospacing="1" w:line="360" w:lineRule="auto"/>
        <w:jc w:val="center"/>
        <w:rPr>
          <w:rFonts w:ascii="宋体" w:hAnsi="宋体" w:cs="宋体"/>
          <w:color w:val="000000"/>
          <w:kern w:val="0"/>
          <w:szCs w:val="21"/>
        </w:rPr>
      </w:pPr>
      <w:r>
        <w:rPr>
          <w:rFonts w:hint="eastAsia" w:ascii="宋体" w:hAnsi="宋体" w:cs="宋体"/>
          <w:b/>
          <w:bCs/>
          <w:color w:val="000000"/>
          <w:kern w:val="0"/>
        </w:rPr>
        <w:t>中小企业划型标准规定</w:t>
      </w:r>
    </w:p>
    <w:p w14:paraId="3AA7090E">
      <w:pPr>
        <w:widowControl/>
        <w:shd w:val="clear" w:color="auto" w:fill="FFFFFF"/>
        <w:spacing w:before="100" w:beforeAutospacing="1" w:after="100" w:afterAutospacing="1" w:line="360" w:lineRule="auto"/>
        <w:jc w:val="left"/>
        <w:rPr>
          <w:rFonts w:ascii="宋体" w:hAnsi="宋体" w:cs="宋体"/>
          <w:color w:val="000000"/>
          <w:kern w:val="0"/>
          <w:szCs w:val="21"/>
        </w:rPr>
      </w:pPr>
      <w:r>
        <w:rPr>
          <w:rFonts w:hint="eastAsia" w:ascii="宋体" w:hAnsi="宋体" w:cs="宋体"/>
          <w:color w:val="000000"/>
          <w:kern w:val="0"/>
          <w:szCs w:val="21"/>
        </w:rPr>
        <w:t>　　一、根据《中华人民共和国中小企业促进法》和《国务院关于进一步促进中小企业发展的若干意见》(国发〔2009〕36号)，制定本规定。</w:t>
      </w:r>
      <w:r>
        <w:rPr>
          <w:rFonts w:hint="eastAsia" w:ascii="宋体" w:hAnsi="宋体" w:cs="宋体"/>
          <w:color w:val="000000"/>
          <w:kern w:val="0"/>
          <w:szCs w:val="21"/>
        </w:rPr>
        <w:br w:type="textWrapping"/>
      </w:r>
      <w:r>
        <w:rPr>
          <w:rFonts w:hint="eastAsia" w:ascii="宋体" w:hAnsi="宋体" w:cs="宋体"/>
          <w:color w:val="000000"/>
          <w:kern w:val="0"/>
          <w:szCs w:val="21"/>
        </w:rPr>
        <w:t>　　二、中小企业划分为中型、小型、微型三种类型，具体标准根据企业从业人员、营业收入、资产总额等指标，结合行业特点制定。</w:t>
      </w:r>
      <w:r>
        <w:rPr>
          <w:rFonts w:hint="eastAsia" w:ascii="宋体" w:hAnsi="宋体" w:cs="宋体"/>
          <w:color w:val="000000"/>
          <w:kern w:val="0"/>
          <w:szCs w:val="21"/>
        </w:rPr>
        <w:br w:type="textWrapping"/>
      </w:r>
      <w:r>
        <w:rPr>
          <w:rFonts w:hint="eastAsia" w:ascii="宋体" w:hAnsi="宋体" w:cs="宋体"/>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cs="宋体"/>
          <w:color w:val="000000"/>
          <w:kern w:val="0"/>
          <w:szCs w:val="21"/>
        </w:rPr>
        <w:br w:type="textWrapping"/>
      </w:r>
      <w:r>
        <w:rPr>
          <w:rFonts w:hint="eastAsia" w:ascii="宋体" w:hAnsi="宋体" w:cs="宋体"/>
          <w:color w:val="000000"/>
          <w:kern w:val="0"/>
          <w:szCs w:val="21"/>
        </w:rPr>
        <w:t>　　四、各行业划型标准为：</w:t>
      </w:r>
      <w:r>
        <w:rPr>
          <w:rFonts w:hint="eastAsia" w:ascii="宋体" w:hAnsi="宋体" w:cs="宋体"/>
          <w:color w:val="000000"/>
          <w:kern w:val="0"/>
          <w:szCs w:val="21"/>
        </w:rPr>
        <w:br w:type="textWrapping"/>
      </w:r>
      <w:r>
        <w:rPr>
          <w:rFonts w:hint="eastAsia" w:ascii="宋体" w:hAnsi="宋体" w:cs="宋体"/>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五、企业类型的划分以统计部门的统计数据为依据。</w:t>
      </w:r>
      <w:r>
        <w:rPr>
          <w:rFonts w:hint="eastAsia" w:ascii="宋体" w:hAnsi="宋体" w:cs="宋体"/>
          <w:color w:val="000000"/>
          <w:kern w:val="0"/>
          <w:szCs w:val="21"/>
        </w:rPr>
        <w:br w:type="textWrapping"/>
      </w:r>
      <w:r>
        <w:rPr>
          <w:rFonts w:hint="eastAsia" w:ascii="宋体" w:hAnsi="宋体" w:cs="宋体"/>
          <w:color w:val="000000"/>
          <w:kern w:val="0"/>
          <w:szCs w:val="21"/>
        </w:rPr>
        <w:t>　　六、本规定适用于在中华人民共和国境内依法设立的各类所有制和各种组织形式的企业。个体工商户和本规定以外的行业，参照本规定进行划型。</w:t>
      </w:r>
      <w:r>
        <w:rPr>
          <w:rFonts w:hint="eastAsia" w:ascii="宋体" w:hAnsi="宋体" w:cs="宋体"/>
          <w:color w:val="000000"/>
          <w:kern w:val="0"/>
          <w:szCs w:val="21"/>
        </w:rPr>
        <w:br w:type="textWrapping"/>
      </w:r>
      <w:r>
        <w:rPr>
          <w:rFonts w:hint="eastAsia" w:ascii="宋体" w:hAnsi="宋体" w:cs="宋体"/>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cs="宋体"/>
          <w:color w:val="000000"/>
          <w:kern w:val="0"/>
          <w:szCs w:val="21"/>
        </w:rPr>
        <w:br w:type="textWrapping"/>
      </w:r>
      <w:r>
        <w:rPr>
          <w:rFonts w:hint="eastAsia" w:ascii="宋体" w:hAnsi="宋体" w:cs="宋体"/>
          <w:color w:val="000000"/>
          <w:kern w:val="0"/>
          <w:szCs w:val="21"/>
        </w:rPr>
        <w:t>　　八、本规定由工业和信息化部、国家统计局会同有关部门根据《国民经济行业分类》修订情况和企业发展变化情况适时修订。</w:t>
      </w:r>
      <w:r>
        <w:rPr>
          <w:rFonts w:hint="eastAsia" w:ascii="宋体" w:hAnsi="宋体" w:cs="宋体"/>
          <w:color w:val="000000"/>
          <w:kern w:val="0"/>
          <w:szCs w:val="21"/>
        </w:rPr>
        <w:br w:type="textWrapping"/>
      </w:r>
      <w:r>
        <w:rPr>
          <w:rFonts w:hint="eastAsia" w:ascii="宋体" w:hAnsi="宋体" w:cs="宋体"/>
          <w:color w:val="000000"/>
          <w:kern w:val="0"/>
          <w:szCs w:val="21"/>
        </w:rPr>
        <w:t>　　九、本规定由工业和信息化部、国家统计局会同有关部门负责解释。</w:t>
      </w:r>
      <w:r>
        <w:rPr>
          <w:rFonts w:hint="eastAsia" w:ascii="宋体" w:hAnsi="宋体" w:cs="宋体"/>
          <w:color w:val="000000"/>
          <w:kern w:val="0"/>
          <w:szCs w:val="21"/>
        </w:rPr>
        <w:br w:type="textWrapping"/>
      </w:r>
      <w:r>
        <w:rPr>
          <w:rFonts w:hint="eastAsia" w:ascii="宋体" w:hAnsi="宋体" w:cs="宋体"/>
          <w:color w:val="000000"/>
          <w:kern w:val="0"/>
          <w:szCs w:val="21"/>
        </w:rPr>
        <w:t>　　十、本规定自发布之日起执行，原国家经贸委、原国家计委、财政部和国家统计局2003年颁布的《中小企业标准暂行规定》同时废止。</w:t>
      </w:r>
    </w:p>
    <w:p w14:paraId="586B00D8">
      <w:pPr>
        <w:widowControl/>
        <w:shd w:val="clear" w:color="auto" w:fill="FFFFFF"/>
        <w:spacing w:before="100" w:beforeAutospacing="1" w:after="100" w:afterAutospacing="1" w:line="360" w:lineRule="auto"/>
        <w:jc w:val="left"/>
        <w:rPr>
          <w:rFonts w:ascii="宋体" w:hAnsi="宋体" w:cs="宋体"/>
          <w:color w:val="000000"/>
          <w:kern w:val="0"/>
          <w:szCs w:val="21"/>
        </w:rPr>
      </w:pPr>
    </w:p>
    <w:p w14:paraId="28493885">
      <w:pPr>
        <w:keepNext/>
        <w:keepLines/>
        <w:jc w:val="center"/>
        <w:outlineLvl w:val="2"/>
        <w:rPr>
          <w:rFonts w:ascii="宋体" w:hAnsi="宋体"/>
          <w:b/>
          <w:bCs/>
          <w:kern w:val="0"/>
          <w:sz w:val="28"/>
          <w:szCs w:val="32"/>
        </w:rPr>
      </w:pPr>
      <w:bookmarkStart w:id="21" w:name="_Toc73610164"/>
      <w:bookmarkStart w:id="22" w:name="_Toc73613646"/>
      <w:r>
        <w:rPr>
          <w:rFonts w:hint="eastAsia" w:ascii="宋体" w:hAnsi="宋体"/>
          <w:b/>
          <w:kern w:val="0"/>
          <w:sz w:val="28"/>
          <w:szCs w:val="32"/>
        </w:rPr>
        <w:t>三、</w:t>
      </w:r>
      <w:r>
        <w:rPr>
          <w:rFonts w:ascii="宋体" w:hAnsi="宋体"/>
          <w:b/>
          <w:kern w:val="0"/>
          <w:sz w:val="28"/>
          <w:szCs w:val="32"/>
        </w:rPr>
        <w:t>国家统计局关于印发《统计上大中小微型企业划分办法 （2017）》的通知</w:t>
      </w:r>
      <w:bookmarkEnd w:id="21"/>
      <w:bookmarkEnd w:id="22"/>
      <w:r>
        <w:rPr>
          <w:rFonts w:ascii="宋体" w:hAnsi="宋体"/>
          <w:b/>
          <w:kern w:val="0"/>
          <w:sz w:val="28"/>
          <w:szCs w:val="32"/>
        </w:rPr>
        <w:t> </w:t>
      </w:r>
    </w:p>
    <w:p w14:paraId="72BD2579">
      <w:pPr>
        <w:widowControl/>
        <w:spacing w:line="360" w:lineRule="auto"/>
        <w:jc w:val="center"/>
        <w:rPr>
          <w:rFonts w:ascii="宋体" w:hAnsi="宋体" w:cs="宋体"/>
          <w:kern w:val="0"/>
          <w:szCs w:val="21"/>
        </w:rPr>
      </w:pPr>
      <w:r>
        <w:rPr>
          <w:rFonts w:hint="eastAsia" w:ascii="宋体" w:hAnsi="宋体" w:cs="宋体"/>
          <w:kern w:val="0"/>
          <w:szCs w:val="21"/>
        </w:rPr>
        <w:t>国统字〔2017〕213号</w:t>
      </w:r>
    </w:p>
    <w:p w14:paraId="346ABF16">
      <w:pPr>
        <w:widowControl/>
        <w:spacing w:line="360" w:lineRule="auto"/>
        <w:jc w:val="left"/>
        <w:rPr>
          <w:rFonts w:ascii="宋体" w:hAnsi="宋体" w:cs="宋体"/>
          <w:kern w:val="0"/>
          <w:szCs w:val="21"/>
        </w:rPr>
      </w:pPr>
      <w:r>
        <w:rPr>
          <w:rFonts w:ascii="宋体" w:hAnsi="宋体" w:cs="宋体"/>
          <w:kern w:val="0"/>
          <w:szCs w:val="21"/>
        </w:rPr>
        <w:t>各省、自治区、直辖市统计局，新疆生产建设兵团统计局，国务院各有关部门，国家统计局各调查总队：</w:t>
      </w:r>
    </w:p>
    <w:p w14:paraId="7DB31C24">
      <w:pPr>
        <w:widowControl/>
        <w:spacing w:line="360" w:lineRule="auto"/>
        <w:ind w:firstLine="371" w:firstLineChars="177"/>
        <w:jc w:val="left"/>
        <w:rPr>
          <w:rFonts w:ascii="宋体" w:hAnsi="宋体" w:cs="宋体"/>
          <w:kern w:val="0"/>
          <w:szCs w:val="21"/>
        </w:rPr>
      </w:pPr>
      <w:r>
        <w:rPr>
          <w:rFonts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2D8C865">
      <w:pPr>
        <w:widowControl/>
        <w:spacing w:line="360" w:lineRule="auto"/>
        <w:jc w:val="left"/>
        <w:rPr>
          <w:rFonts w:ascii="宋体" w:hAnsi="宋体" w:cs="宋体"/>
          <w:kern w:val="0"/>
          <w:szCs w:val="21"/>
        </w:rPr>
      </w:pPr>
      <w:r>
        <w:rPr>
          <w:rFonts w:ascii="宋体" w:hAnsi="宋体" w:cs="宋体"/>
          <w:kern w:val="0"/>
          <w:szCs w:val="21"/>
        </w:rPr>
        <w:t>附件：《统计上大中小微型企业划分办法（2017）》修订说明</w:t>
      </w:r>
    </w:p>
    <w:p w14:paraId="30969CE1">
      <w:pPr>
        <w:widowControl/>
        <w:spacing w:line="360" w:lineRule="auto"/>
        <w:jc w:val="right"/>
        <w:rPr>
          <w:rFonts w:ascii="宋体" w:hAnsi="宋体" w:cs="宋体"/>
          <w:kern w:val="0"/>
          <w:szCs w:val="21"/>
        </w:rPr>
      </w:pPr>
      <w:r>
        <w:rPr>
          <w:rFonts w:ascii="宋体" w:hAnsi="宋体" w:cs="宋体"/>
          <w:kern w:val="0"/>
          <w:szCs w:val="21"/>
        </w:rPr>
        <w:t>国家统计局</w:t>
      </w:r>
    </w:p>
    <w:p w14:paraId="2B67F89A">
      <w:pPr>
        <w:widowControl/>
        <w:spacing w:line="360" w:lineRule="auto"/>
        <w:jc w:val="right"/>
        <w:rPr>
          <w:rFonts w:ascii="宋体" w:hAnsi="宋体" w:cs="宋体"/>
          <w:kern w:val="0"/>
          <w:szCs w:val="21"/>
        </w:rPr>
      </w:pPr>
      <w:r>
        <w:rPr>
          <w:rFonts w:ascii="宋体" w:hAnsi="宋体" w:cs="宋体"/>
          <w:kern w:val="0"/>
          <w:szCs w:val="21"/>
        </w:rPr>
        <w:t>2017年12月28日</w:t>
      </w:r>
    </w:p>
    <w:p w14:paraId="5F7C1E4D">
      <w:pPr>
        <w:widowControl/>
        <w:spacing w:line="360" w:lineRule="auto"/>
        <w:jc w:val="center"/>
        <w:rPr>
          <w:rFonts w:ascii="宋体" w:hAnsi="宋体" w:cs="宋体"/>
          <w:b/>
          <w:bCs/>
          <w:kern w:val="0"/>
          <w:szCs w:val="21"/>
        </w:rPr>
      </w:pPr>
    </w:p>
    <w:p w14:paraId="1DA7FBF3">
      <w:pPr>
        <w:widowControl/>
        <w:spacing w:line="360" w:lineRule="auto"/>
        <w:jc w:val="center"/>
        <w:rPr>
          <w:rFonts w:ascii="宋体" w:hAnsi="宋体" w:cs="宋体"/>
          <w:kern w:val="0"/>
          <w:szCs w:val="21"/>
        </w:rPr>
      </w:pPr>
      <w:r>
        <w:rPr>
          <w:rFonts w:ascii="宋体" w:hAnsi="宋体" w:cs="宋体"/>
          <w:b/>
          <w:bCs/>
          <w:kern w:val="0"/>
          <w:szCs w:val="21"/>
        </w:rPr>
        <w:t>统计上大中小微型企业划分办法（2017）</w:t>
      </w:r>
    </w:p>
    <w:p w14:paraId="6A69619B">
      <w:pPr>
        <w:widowControl/>
        <w:spacing w:line="360" w:lineRule="auto"/>
        <w:jc w:val="left"/>
        <w:rPr>
          <w:rFonts w:ascii="宋体" w:hAnsi="宋体" w:cs="宋体"/>
          <w:kern w:val="0"/>
          <w:szCs w:val="21"/>
        </w:rPr>
      </w:pPr>
    </w:p>
    <w:p w14:paraId="36433306">
      <w:pPr>
        <w:widowControl/>
        <w:spacing w:line="360" w:lineRule="auto"/>
        <w:ind w:left="1" w:firstLine="371" w:firstLineChars="177"/>
        <w:jc w:val="left"/>
        <w:rPr>
          <w:rFonts w:ascii="宋体" w:hAnsi="宋体" w:cs="宋体"/>
          <w:kern w:val="0"/>
          <w:szCs w:val="21"/>
        </w:rPr>
      </w:pPr>
      <w:r>
        <w:rPr>
          <w:rFonts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7712D6F">
      <w:pPr>
        <w:widowControl/>
        <w:spacing w:line="360" w:lineRule="auto"/>
        <w:ind w:firstLine="371" w:firstLineChars="177"/>
        <w:jc w:val="left"/>
        <w:rPr>
          <w:rFonts w:ascii="宋体" w:hAnsi="宋体" w:cs="宋体"/>
          <w:kern w:val="0"/>
          <w:szCs w:val="21"/>
        </w:rPr>
      </w:pPr>
      <w:r>
        <w:rPr>
          <w:rFonts w:ascii="宋体" w:hAnsi="宋体" w:cs="宋体"/>
          <w:kern w:val="0"/>
          <w:szCs w:val="21"/>
        </w:rPr>
        <w:t>二、本办法适用对象为在中华人民共和国境内依法设立的各种组织形式的法人企业或单位。个体工商户参照本办法进行划分。</w:t>
      </w:r>
    </w:p>
    <w:p w14:paraId="3EAD1930">
      <w:pPr>
        <w:widowControl/>
        <w:spacing w:line="360" w:lineRule="auto"/>
        <w:ind w:firstLine="371" w:firstLineChars="177"/>
        <w:jc w:val="left"/>
        <w:rPr>
          <w:rFonts w:ascii="宋体" w:hAnsi="宋体" w:cs="宋体"/>
          <w:kern w:val="0"/>
          <w:szCs w:val="21"/>
        </w:rPr>
      </w:pPr>
      <w:r>
        <w:rPr>
          <w:rFonts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9DB38DF">
      <w:pPr>
        <w:widowControl/>
        <w:spacing w:line="360" w:lineRule="auto"/>
        <w:ind w:firstLine="371" w:firstLineChars="177"/>
        <w:jc w:val="left"/>
        <w:rPr>
          <w:rFonts w:ascii="宋体" w:hAnsi="宋体" w:cs="宋体"/>
          <w:kern w:val="0"/>
          <w:szCs w:val="21"/>
        </w:rPr>
      </w:pPr>
      <w:r>
        <w:rPr>
          <w:rFonts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24C1570D">
      <w:pPr>
        <w:widowControl/>
        <w:spacing w:line="360" w:lineRule="auto"/>
        <w:ind w:firstLine="371" w:firstLineChars="177"/>
        <w:jc w:val="left"/>
        <w:rPr>
          <w:rFonts w:ascii="宋体" w:hAnsi="宋体" w:cs="宋体"/>
          <w:kern w:val="0"/>
          <w:szCs w:val="21"/>
        </w:rPr>
      </w:pPr>
      <w:r>
        <w:rPr>
          <w:rFonts w:ascii="宋体" w:hAnsi="宋体" w:cs="宋体"/>
          <w:kern w:val="0"/>
          <w:szCs w:val="21"/>
        </w:rPr>
        <w:t>五、企业划分由政府综合统计部门根据统计年报每年确定一次，定报统计原则上不进行调整。</w:t>
      </w:r>
    </w:p>
    <w:p w14:paraId="7D99F428">
      <w:pPr>
        <w:widowControl/>
        <w:spacing w:line="360" w:lineRule="auto"/>
        <w:ind w:left="1" w:firstLine="371" w:firstLineChars="177"/>
        <w:jc w:val="left"/>
        <w:rPr>
          <w:rFonts w:ascii="宋体" w:hAnsi="宋体" w:cs="宋体"/>
          <w:kern w:val="0"/>
          <w:szCs w:val="21"/>
        </w:rPr>
      </w:pPr>
      <w:r>
        <w:rPr>
          <w:rFonts w:ascii="宋体" w:hAnsi="宋体" w:cs="宋体"/>
          <w:kern w:val="0"/>
          <w:szCs w:val="21"/>
        </w:rPr>
        <w:t>六、本办法自印发之日起执行，国家统计局2011年印发的《统计上大中小微型企业划分办法》（国统字〔2011〕75号）同时废止。</w:t>
      </w:r>
    </w:p>
    <w:p w14:paraId="60B7D2F8">
      <w:pPr>
        <w:widowControl/>
        <w:spacing w:line="360" w:lineRule="auto"/>
        <w:jc w:val="left"/>
        <w:rPr>
          <w:rFonts w:ascii="宋体" w:hAnsi="宋体" w:cs="宋体"/>
          <w:kern w:val="0"/>
          <w:szCs w:val="21"/>
        </w:rPr>
      </w:pPr>
    </w:p>
    <w:p w14:paraId="5B3C8DD2">
      <w:pPr>
        <w:widowControl/>
        <w:spacing w:line="360" w:lineRule="auto"/>
        <w:jc w:val="left"/>
        <w:rPr>
          <w:rFonts w:ascii="宋体" w:hAnsi="宋体" w:cs="宋体"/>
          <w:kern w:val="0"/>
          <w:szCs w:val="21"/>
        </w:rPr>
      </w:pPr>
      <w:r>
        <w:rPr>
          <w:rFonts w:ascii="宋体" w:hAnsi="宋体" w:cs="宋体"/>
          <w:kern w:val="0"/>
          <w:szCs w:val="21"/>
        </w:rPr>
        <w:t>附件</w:t>
      </w:r>
    </w:p>
    <w:p w14:paraId="6A9C1249">
      <w:pPr>
        <w:widowControl/>
        <w:spacing w:line="360" w:lineRule="auto"/>
        <w:jc w:val="center"/>
        <w:rPr>
          <w:rFonts w:ascii="宋体" w:hAnsi="宋体" w:cs="宋体"/>
          <w:kern w:val="0"/>
          <w:szCs w:val="21"/>
        </w:rPr>
      </w:pPr>
      <w:r>
        <w:rPr>
          <w:rFonts w:ascii="宋体" w:hAnsi="宋体" w:cs="宋体"/>
          <w:b/>
          <w:bCs/>
          <w:kern w:val="0"/>
          <w:szCs w:val="21"/>
        </w:rPr>
        <w:t>《统计上大中小微型企业划分办法（2017）》修订说明</w:t>
      </w:r>
    </w:p>
    <w:p w14:paraId="6CC52B2B">
      <w:pPr>
        <w:widowControl/>
        <w:spacing w:line="360" w:lineRule="auto"/>
        <w:jc w:val="left"/>
        <w:rPr>
          <w:rFonts w:ascii="宋体" w:hAnsi="宋体" w:cs="宋体"/>
          <w:kern w:val="0"/>
          <w:szCs w:val="21"/>
        </w:rPr>
      </w:pPr>
    </w:p>
    <w:p w14:paraId="2FC52856">
      <w:pPr>
        <w:widowControl/>
        <w:spacing w:line="360" w:lineRule="auto"/>
        <w:ind w:firstLine="371" w:firstLineChars="177"/>
        <w:jc w:val="left"/>
        <w:rPr>
          <w:rFonts w:ascii="宋体" w:hAnsi="宋体" w:cs="宋体"/>
          <w:kern w:val="0"/>
          <w:szCs w:val="21"/>
        </w:rPr>
      </w:pPr>
      <w:r>
        <w:rPr>
          <w:rFonts w:ascii="宋体" w:hAnsi="宋体" w:cs="宋体"/>
          <w:kern w:val="0"/>
          <w:szCs w:val="21"/>
        </w:rPr>
        <w:t>一、修订背景</w:t>
      </w:r>
    </w:p>
    <w:p w14:paraId="16630437">
      <w:pPr>
        <w:widowControl/>
        <w:spacing w:line="360" w:lineRule="auto"/>
        <w:ind w:firstLine="371" w:firstLineChars="177"/>
        <w:jc w:val="left"/>
        <w:rPr>
          <w:rFonts w:ascii="宋体" w:hAnsi="宋体" w:cs="宋体"/>
          <w:kern w:val="0"/>
          <w:szCs w:val="21"/>
        </w:rPr>
      </w:pPr>
      <w:r>
        <w:rPr>
          <w:rFonts w:ascii="宋体" w:hAnsi="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1CAC61B">
      <w:pPr>
        <w:widowControl/>
        <w:spacing w:line="360" w:lineRule="auto"/>
        <w:ind w:firstLine="371" w:firstLineChars="177"/>
        <w:jc w:val="left"/>
        <w:rPr>
          <w:rFonts w:ascii="宋体" w:hAnsi="宋体" w:cs="宋体"/>
          <w:kern w:val="0"/>
          <w:szCs w:val="21"/>
        </w:rPr>
      </w:pPr>
      <w:r>
        <w:rPr>
          <w:rFonts w:ascii="宋体" w:hAnsi="宋体"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F1D0029">
      <w:pPr>
        <w:widowControl/>
        <w:spacing w:line="360" w:lineRule="auto"/>
        <w:ind w:firstLine="371" w:firstLineChars="177"/>
        <w:jc w:val="left"/>
        <w:rPr>
          <w:rFonts w:ascii="宋体" w:hAnsi="宋体" w:cs="宋体"/>
          <w:kern w:val="0"/>
          <w:szCs w:val="21"/>
        </w:rPr>
      </w:pPr>
      <w:r>
        <w:rPr>
          <w:rFonts w:ascii="宋体" w:hAnsi="宋体" w:cs="宋体"/>
          <w:kern w:val="0"/>
          <w:szCs w:val="21"/>
        </w:rPr>
        <w:t>二、修订主要内容</w:t>
      </w:r>
    </w:p>
    <w:p w14:paraId="79454DF0">
      <w:pPr>
        <w:widowControl/>
        <w:spacing w:line="360" w:lineRule="auto"/>
        <w:ind w:firstLine="371" w:firstLineChars="177"/>
        <w:jc w:val="left"/>
        <w:rPr>
          <w:rFonts w:ascii="宋体" w:hAnsi="宋体" w:cs="宋体"/>
          <w:kern w:val="0"/>
          <w:szCs w:val="21"/>
        </w:rPr>
      </w:pPr>
      <w:r>
        <w:rPr>
          <w:rFonts w:ascii="宋体" w:hAnsi="宋体"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7E46AE9">
      <w:pPr>
        <w:widowControl/>
        <w:spacing w:line="360" w:lineRule="auto"/>
        <w:ind w:firstLine="371" w:firstLineChars="177"/>
        <w:jc w:val="left"/>
        <w:rPr>
          <w:rFonts w:ascii="宋体" w:hAnsi="宋体" w:cs="宋体"/>
          <w:kern w:val="0"/>
          <w:szCs w:val="21"/>
        </w:rPr>
      </w:pPr>
      <w:r>
        <w:rPr>
          <w:rFonts w:ascii="宋体" w:hAnsi="宋体" w:cs="宋体"/>
          <w:kern w:val="0"/>
          <w:szCs w:val="21"/>
        </w:rPr>
        <w:t>将交通运输业中包括的“装卸搬运和运输代理业”修改为“多式联运和运输代理业、装卸搬运”。</w:t>
      </w:r>
    </w:p>
    <w:p w14:paraId="1C53AF29">
      <w:pPr>
        <w:widowControl/>
        <w:spacing w:line="360" w:lineRule="auto"/>
        <w:jc w:val="left"/>
        <w:rPr>
          <w:rFonts w:ascii="宋体" w:hAnsi="宋体" w:cs="宋体"/>
          <w:kern w:val="0"/>
          <w:szCs w:val="21"/>
        </w:rPr>
      </w:pPr>
      <w:r>
        <w:rPr>
          <w:rFonts w:ascii="宋体" w:hAnsi="宋体" w:cs="宋体"/>
          <w:kern w:val="0"/>
          <w:szCs w:val="21"/>
        </w:rPr>
        <w:t>仓储业所包括的行业中类，根据《国民经济行业分类》（GB/T 4754—2017）调整为“通用仓储，低温仓储，危险品仓储，谷物、棉花等农产品仓储，中药材仓储和其他仓储业”。</w:t>
      </w:r>
    </w:p>
    <w:p w14:paraId="0D8FA6E0">
      <w:pPr>
        <w:widowControl/>
        <w:spacing w:line="360" w:lineRule="auto"/>
        <w:jc w:val="left"/>
        <w:rPr>
          <w:rFonts w:ascii="宋体" w:hAnsi="宋体" w:cs="宋体"/>
          <w:kern w:val="0"/>
          <w:szCs w:val="21"/>
        </w:rPr>
      </w:pPr>
    </w:p>
    <w:p w14:paraId="5C77D49C">
      <w:pPr>
        <w:widowControl/>
        <w:spacing w:line="360" w:lineRule="auto"/>
        <w:jc w:val="left"/>
        <w:rPr>
          <w:rFonts w:ascii="宋体" w:hAnsi="宋体" w:cs="宋体"/>
          <w:kern w:val="0"/>
          <w:szCs w:val="21"/>
        </w:rPr>
      </w:pPr>
      <w:r>
        <w:rPr>
          <w:rFonts w:ascii="宋体" w:hAnsi="宋体" w:cs="宋体"/>
          <w:kern w:val="0"/>
          <w:szCs w:val="21"/>
        </w:rPr>
        <w:t>附表</w:t>
      </w:r>
    </w:p>
    <w:p w14:paraId="65FA99F8">
      <w:pPr>
        <w:widowControl/>
        <w:spacing w:line="360" w:lineRule="auto"/>
        <w:jc w:val="center"/>
        <w:rPr>
          <w:rFonts w:ascii="宋体" w:hAnsi="宋体" w:cs="宋体"/>
          <w:kern w:val="0"/>
          <w:szCs w:val="21"/>
        </w:rPr>
      </w:pPr>
      <w:r>
        <w:rPr>
          <w:rFonts w:ascii="宋体" w:hAnsi="宋体" w:cs="宋体"/>
          <w:b/>
          <w:bCs/>
          <w:kern w:val="0"/>
          <w:szCs w:val="21"/>
        </w:rPr>
        <w:t>统计上大中小微型企业划分标准</w:t>
      </w:r>
    </w:p>
    <w:tbl>
      <w:tblPr>
        <w:tblStyle w:val="55"/>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C644AE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1A534C1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4D85D3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2189B4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55FCF1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4ECA29A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2DC3056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D4339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E82435C">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BCBB68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6C8634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CE8A9B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FEDF7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4AA85E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3038704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4FAA90C2">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7C03F9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2AF47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3645F9E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E54DD2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660038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F0C5E78">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78CE8B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9004DA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69D26E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F3EC5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EFCCA3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3AE2C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56074AC">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57FB73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7ADE6E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99DE6D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4C5915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735FD0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2A992FE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B712C2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60AEEC">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574AC4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0E7CB9A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470599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387DE55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5E80DF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EE20DA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7018EB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8E3BC4E">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74F27D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861E7D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1FC40988">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05642F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D536E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19E544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CD9B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D7152CE">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506D901F">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09EE85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095F3D">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3B4DB0E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27C3CB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51588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444DF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15A42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04305038">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542DCD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1B7F853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35A1C97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229E87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64775BB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D2003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405BB4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A27CA5D">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D8C165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598C3BA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A31FFF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31BBED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8ECB2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627D46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BCA7FC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1C87BA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424776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2E08C3C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7C06A9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D9B60B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8B028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FCC2B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26BA2A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081A03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EF79D8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CE8479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60355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9BF3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922F79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D6EBE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0FCD59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7F77832">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5761B0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19400D5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64B3378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898227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7C0ACC1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10F3C7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9A0A5A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5F9F841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95A0F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355ECB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5A9951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7CCA8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FB431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7AB1FD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585F7A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2B36BC9">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ED0F95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A12F9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BFA14A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A831B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6F1F911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F80B4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44E07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89E605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EA5165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809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39078C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49F422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BB88BF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0B06B4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A1969D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3A31F1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60D45E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22AF22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D8DF89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D60AB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FEA15C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B51C10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648940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00E1CE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68346E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3A5E53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531C7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6F7DAB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849C0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B4372F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074045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934EF1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1E3DF1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E2F88A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E40B96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BDB4A1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C92520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3F7B1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3A8EC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D25EE8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EDD6D3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B9EEDA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594031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2E6892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5EDED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DF403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2187F7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5A66E50">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B36BC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7CEA7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E87647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4EE71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3208418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B7D9A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DD9ABFC">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01D7D4FC">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6A519AE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3F5D12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E25374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26EB89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38066B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2B02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2A0906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C3798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26ED8C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97F20D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88E9A49">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736DE6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5AA6CA4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DCCAF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48F853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35D929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9B6EF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93B0FF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B528E8D">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55D4A52E">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573918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57457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1501D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06227F2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262C92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02E54DB">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14DA8E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696656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3C88C095">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039EA9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21AEC9F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687E7CA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4863610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D61635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ED990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F8AEE6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51D11D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B7F4E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268842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DFF18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50DBBE5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09B11DE6">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29A2A86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A1250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783A9B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EDA2E3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541BB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95C40FA">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A84D25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2DC25E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DE513B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1771E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547272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4DD9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11F1A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8C42CE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64B876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FD0C5C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153675A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660BD2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62D043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7D1F80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98C35F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F9F20F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F4DD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20295D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352816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22BE24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5C2EC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DDB672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BFAE2E">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0354586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12373B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43DB8C4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3F48DF37">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44C52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30E1560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4C322A0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C80956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711FFE2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49E40A5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2DB3844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189E4F00">
      <w:pPr>
        <w:widowControl/>
        <w:spacing w:line="360" w:lineRule="auto"/>
        <w:jc w:val="left"/>
        <w:rPr>
          <w:rFonts w:ascii="宋体" w:hAnsi="宋体" w:cs="宋体"/>
          <w:kern w:val="0"/>
          <w:szCs w:val="21"/>
        </w:rPr>
      </w:pPr>
      <w:r>
        <w:rPr>
          <w:rFonts w:ascii="宋体" w:hAnsi="宋体" w:cs="宋体"/>
          <w:kern w:val="0"/>
          <w:szCs w:val="21"/>
        </w:rPr>
        <w:t>说明：</w:t>
      </w:r>
    </w:p>
    <w:p w14:paraId="122A885C">
      <w:pPr>
        <w:widowControl/>
        <w:spacing w:line="360" w:lineRule="auto"/>
        <w:ind w:firstLine="371" w:firstLineChars="177"/>
        <w:jc w:val="left"/>
        <w:rPr>
          <w:rFonts w:ascii="宋体" w:hAnsi="宋体" w:cs="宋体"/>
          <w:kern w:val="0"/>
          <w:szCs w:val="21"/>
        </w:rPr>
      </w:pPr>
      <w:r>
        <w:rPr>
          <w:rFonts w:ascii="宋体" w:hAnsi="宋体" w:cs="宋体"/>
          <w:kern w:val="0"/>
          <w:szCs w:val="21"/>
        </w:rPr>
        <w:t>1.大型、中型和小型企业须同时满足所列指标的下限，否则下划一档；微型企业只须满足所列指标中的一项即可。</w:t>
      </w:r>
    </w:p>
    <w:p w14:paraId="6FFAE68D">
      <w:pPr>
        <w:widowControl/>
        <w:spacing w:line="360" w:lineRule="auto"/>
        <w:ind w:firstLine="371" w:firstLineChars="177"/>
        <w:jc w:val="left"/>
        <w:rPr>
          <w:rFonts w:ascii="宋体" w:hAnsi="宋体" w:cs="宋体"/>
          <w:kern w:val="0"/>
          <w:szCs w:val="21"/>
        </w:rPr>
      </w:pPr>
      <w:r>
        <w:rPr>
          <w:rFonts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6DCC275">
      <w:pPr>
        <w:widowControl/>
        <w:spacing w:line="360" w:lineRule="auto"/>
        <w:ind w:firstLine="371" w:firstLineChars="177"/>
        <w:jc w:val="left"/>
        <w:rPr>
          <w:rFonts w:ascii="宋体" w:hAnsi="宋体" w:cs="宋体"/>
          <w:kern w:val="0"/>
          <w:szCs w:val="21"/>
        </w:rPr>
      </w:pPr>
      <w:r>
        <w:rPr>
          <w:rFonts w:ascii="宋体" w:hAnsi="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959CCDD">
      <w:pPr>
        <w:spacing w:line="360" w:lineRule="auto"/>
        <w:rPr>
          <w:rFonts w:ascii="宋体" w:hAnsi="宋体"/>
          <w:szCs w:val="21"/>
        </w:rPr>
      </w:pPr>
    </w:p>
    <w:p w14:paraId="44B789FF">
      <w:pPr>
        <w:keepNext/>
        <w:keepLines/>
        <w:jc w:val="center"/>
        <w:outlineLvl w:val="2"/>
        <w:rPr>
          <w:rFonts w:ascii="宋体" w:hAnsi="宋体"/>
          <w:b/>
          <w:bCs/>
          <w:kern w:val="0"/>
          <w:sz w:val="28"/>
          <w:szCs w:val="32"/>
        </w:rPr>
      </w:pPr>
      <w:bookmarkStart w:id="23" w:name="_Toc73613647"/>
      <w:bookmarkStart w:id="24" w:name="_Toc73610165"/>
      <w:r>
        <w:rPr>
          <w:rFonts w:hint="eastAsia" w:ascii="宋体" w:hAnsi="宋体"/>
          <w:b/>
          <w:bCs/>
          <w:kern w:val="0"/>
          <w:sz w:val="28"/>
          <w:szCs w:val="32"/>
        </w:rPr>
        <w:t>四、</w:t>
      </w:r>
      <w:r>
        <w:rPr>
          <w:rFonts w:ascii="宋体" w:hAnsi="宋体"/>
          <w:b/>
          <w:bCs/>
          <w:kern w:val="0"/>
          <w:sz w:val="28"/>
          <w:szCs w:val="32"/>
        </w:rPr>
        <w:t>财政部 民政部 中国残疾人联合会关于促进残疾人就业 政府采购政策的通知</w:t>
      </w:r>
      <w:bookmarkEnd w:id="23"/>
      <w:bookmarkEnd w:id="24"/>
      <w:r>
        <w:rPr>
          <w:rFonts w:ascii="宋体" w:hAnsi="宋体"/>
          <w:b/>
          <w:bCs/>
          <w:kern w:val="0"/>
          <w:sz w:val="28"/>
          <w:szCs w:val="32"/>
        </w:rPr>
        <w:t xml:space="preserve"> </w:t>
      </w:r>
    </w:p>
    <w:p w14:paraId="7B2BB5A2">
      <w:pPr>
        <w:widowControl/>
        <w:shd w:val="clear" w:color="auto" w:fill="FFFFFF"/>
        <w:spacing w:before="100" w:beforeAutospacing="1" w:after="100" w:afterAutospacing="1" w:line="360" w:lineRule="auto"/>
        <w:jc w:val="center"/>
        <w:rPr>
          <w:rFonts w:ascii="宋体" w:hAnsi="宋体" w:cs="宋体"/>
          <w:color w:val="000000"/>
          <w:kern w:val="0"/>
          <w:szCs w:val="21"/>
        </w:rPr>
      </w:pPr>
      <w:r>
        <w:rPr>
          <w:rFonts w:ascii="宋体" w:hAnsi="宋体" w:cs="宋体"/>
          <w:color w:val="000000"/>
          <w:kern w:val="0"/>
          <w:szCs w:val="21"/>
        </w:rPr>
        <w:t>财库〔2017〕141号</w:t>
      </w:r>
    </w:p>
    <w:p w14:paraId="1331F6F3">
      <w:pPr>
        <w:widowControl/>
        <w:spacing w:line="360" w:lineRule="auto"/>
        <w:jc w:val="left"/>
        <w:rPr>
          <w:rFonts w:ascii="宋体" w:hAnsi="宋体" w:cs="宋体"/>
          <w:kern w:val="0"/>
          <w:szCs w:val="21"/>
        </w:rPr>
      </w:pPr>
      <w:r>
        <w:rPr>
          <w:rFonts w:hint="eastAsia" w:ascii="宋体" w:hAnsi="宋体" w:cs="宋体"/>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CF54E18">
      <w:pPr>
        <w:widowControl/>
        <w:spacing w:line="360" w:lineRule="auto"/>
        <w:jc w:val="left"/>
        <w:rPr>
          <w:rFonts w:ascii="宋体" w:hAnsi="宋体" w:cs="宋体"/>
          <w:kern w:val="0"/>
          <w:szCs w:val="21"/>
        </w:rPr>
      </w:pPr>
      <w:r>
        <w:rPr>
          <w:rFonts w:hint="eastAsia" w:ascii="宋体" w:hAnsi="宋体" w:cs="宋体"/>
          <w:kern w:val="0"/>
          <w:szCs w:val="21"/>
        </w:rPr>
        <w:t>　　为了发挥政府采购促进残疾人就业的作用，进一步保障残疾人权益，依照《政府采购法》、《残疾人保障法》等法律法规及相关规定，现就促进残疾人就业政府采购政策通知如下：</w:t>
      </w:r>
    </w:p>
    <w:p w14:paraId="530CC03F">
      <w:pPr>
        <w:widowControl/>
        <w:spacing w:line="360" w:lineRule="auto"/>
        <w:jc w:val="left"/>
        <w:rPr>
          <w:rFonts w:ascii="宋体" w:hAnsi="宋体" w:cs="宋体"/>
          <w:kern w:val="0"/>
          <w:szCs w:val="21"/>
        </w:rPr>
      </w:pPr>
      <w:r>
        <w:rPr>
          <w:rFonts w:hint="eastAsia" w:ascii="宋体" w:hAnsi="宋体" w:cs="宋体"/>
          <w:kern w:val="0"/>
          <w:szCs w:val="21"/>
        </w:rPr>
        <w:t>　　一、享受政府采购支持政策的残疾人福利性单位应当同时满足以下条件：</w:t>
      </w:r>
    </w:p>
    <w:p w14:paraId="5D2384F6">
      <w:pPr>
        <w:widowControl/>
        <w:spacing w:line="360" w:lineRule="auto"/>
        <w:jc w:val="left"/>
        <w:rPr>
          <w:rFonts w:ascii="宋体" w:hAnsi="宋体" w:cs="宋体"/>
          <w:kern w:val="0"/>
          <w:szCs w:val="21"/>
        </w:rPr>
      </w:pPr>
      <w:r>
        <w:rPr>
          <w:rFonts w:hint="eastAsia" w:ascii="宋体" w:hAnsi="宋体" w:cs="宋体"/>
          <w:kern w:val="0"/>
          <w:szCs w:val="21"/>
        </w:rPr>
        <w:t>　　（一）安置的残疾人占本单位在职职工人数的比例不低于25%（含25%），并且安置的残疾人人数不少于10人（含10人）；</w:t>
      </w:r>
    </w:p>
    <w:p w14:paraId="78D9A23B">
      <w:pPr>
        <w:widowControl/>
        <w:spacing w:line="360" w:lineRule="auto"/>
        <w:jc w:val="left"/>
        <w:rPr>
          <w:rFonts w:ascii="宋体" w:hAnsi="宋体" w:cs="宋体"/>
          <w:kern w:val="0"/>
          <w:szCs w:val="21"/>
        </w:rPr>
      </w:pPr>
      <w:r>
        <w:rPr>
          <w:rFonts w:hint="eastAsia" w:ascii="宋体" w:hAnsi="宋体" w:cs="宋体"/>
          <w:kern w:val="0"/>
          <w:szCs w:val="21"/>
        </w:rPr>
        <w:t>　　（二）依法与安置的每位残疾人签订了一年以上（含一年）的劳动合同或服务协议；</w:t>
      </w:r>
    </w:p>
    <w:p w14:paraId="21EC2E65">
      <w:pPr>
        <w:widowControl/>
        <w:spacing w:line="360" w:lineRule="auto"/>
        <w:jc w:val="left"/>
        <w:rPr>
          <w:rFonts w:ascii="宋体" w:hAnsi="宋体" w:cs="宋体"/>
          <w:kern w:val="0"/>
          <w:szCs w:val="21"/>
        </w:rPr>
      </w:pPr>
      <w:r>
        <w:rPr>
          <w:rFonts w:hint="eastAsia" w:ascii="宋体" w:hAnsi="宋体" w:cs="宋体"/>
          <w:kern w:val="0"/>
          <w:szCs w:val="21"/>
        </w:rPr>
        <w:t>　　（三）为安置的每位残疾人按月足额缴纳了基本养老保险、基本医疗保险、失业保险、工伤保险和生育保险等社会保险费；</w:t>
      </w:r>
    </w:p>
    <w:p w14:paraId="0EB6C9B4">
      <w:pPr>
        <w:widowControl/>
        <w:spacing w:line="360" w:lineRule="auto"/>
        <w:jc w:val="left"/>
        <w:rPr>
          <w:rFonts w:ascii="宋体" w:hAnsi="宋体" w:cs="宋体"/>
          <w:kern w:val="0"/>
          <w:szCs w:val="21"/>
        </w:rPr>
      </w:pPr>
      <w:r>
        <w:rPr>
          <w:rFonts w:hint="eastAsia" w:ascii="宋体" w:hAnsi="宋体" w:cs="宋体"/>
          <w:kern w:val="0"/>
          <w:szCs w:val="21"/>
        </w:rPr>
        <w:t>　　（四）通过银行等金融机构向安置的每位残疾人，按月支付了不低于单位所在区县适用的经省级人民政府批准的月最低工资标准的工资；</w:t>
      </w:r>
    </w:p>
    <w:p w14:paraId="7CF62B28">
      <w:pPr>
        <w:widowControl/>
        <w:spacing w:line="360" w:lineRule="auto"/>
        <w:jc w:val="left"/>
        <w:rPr>
          <w:rFonts w:ascii="宋体" w:hAnsi="宋体" w:cs="宋体"/>
          <w:kern w:val="0"/>
          <w:szCs w:val="21"/>
        </w:rPr>
      </w:pPr>
      <w:r>
        <w:rPr>
          <w:rFonts w:hint="eastAsia" w:ascii="宋体" w:hAnsi="宋体" w:cs="宋体"/>
          <w:kern w:val="0"/>
          <w:szCs w:val="21"/>
        </w:rPr>
        <w:t>　　（五）提供本单位制造的货物、承担的工程或者服务（以下简称产品），或者提供其他残疾人福利性单位制造的货物（不包括使用非残疾人福利性单位注册商标的货物）。</w:t>
      </w:r>
    </w:p>
    <w:p w14:paraId="02F5E3BA">
      <w:pPr>
        <w:widowControl/>
        <w:spacing w:line="360" w:lineRule="auto"/>
        <w:jc w:val="left"/>
        <w:rPr>
          <w:rFonts w:ascii="宋体" w:hAnsi="宋体" w:cs="宋体"/>
          <w:kern w:val="0"/>
          <w:szCs w:val="21"/>
        </w:rPr>
      </w:pPr>
      <w:r>
        <w:rPr>
          <w:rFonts w:hint="eastAsia" w:ascii="宋体" w:hAnsi="宋体" w:cs="宋体"/>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87133A8">
      <w:pPr>
        <w:widowControl/>
        <w:spacing w:line="360" w:lineRule="auto"/>
        <w:jc w:val="left"/>
        <w:rPr>
          <w:rFonts w:ascii="宋体" w:hAnsi="宋体" w:cs="宋体"/>
          <w:kern w:val="0"/>
          <w:szCs w:val="21"/>
        </w:rPr>
      </w:pPr>
      <w:r>
        <w:rPr>
          <w:rFonts w:hint="eastAsia" w:ascii="宋体" w:hAnsi="宋体" w:cs="宋体"/>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18D12DB">
      <w:pPr>
        <w:widowControl/>
        <w:spacing w:line="360" w:lineRule="auto"/>
        <w:jc w:val="left"/>
        <w:rPr>
          <w:rFonts w:ascii="宋体" w:hAnsi="宋体" w:cs="宋体"/>
          <w:kern w:val="0"/>
          <w:szCs w:val="21"/>
        </w:rPr>
      </w:pPr>
      <w:r>
        <w:rPr>
          <w:rFonts w:hint="eastAsia" w:ascii="宋体" w:hAnsi="宋体" w:cs="宋体"/>
          <w:kern w:val="0"/>
          <w:szCs w:val="21"/>
        </w:rPr>
        <w:t>　　中标、成交供应商为残疾人福利性单位的，采购人或者其委托的采购代理机构应当随中标、成交结果同时公告其《残疾人福利性单位声明函》，接受社会监督。</w:t>
      </w:r>
    </w:p>
    <w:p w14:paraId="159CA229">
      <w:pPr>
        <w:widowControl/>
        <w:spacing w:line="360" w:lineRule="auto"/>
        <w:jc w:val="left"/>
        <w:rPr>
          <w:rFonts w:ascii="宋体" w:hAnsi="宋体" w:cs="宋体"/>
          <w:kern w:val="0"/>
          <w:szCs w:val="21"/>
        </w:rPr>
      </w:pPr>
      <w:r>
        <w:rPr>
          <w:rFonts w:hint="eastAsia" w:ascii="宋体" w:hAnsi="宋体" w:cs="宋体"/>
          <w:kern w:val="0"/>
          <w:szCs w:val="21"/>
        </w:rPr>
        <w:t>　　供应商提供的《残疾人福利性单位声明函》与事实不符的，依照《政府采购法》第七十七条第一款的规定追究法律责任。</w:t>
      </w:r>
    </w:p>
    <w:p w14:paraId="4EADD918">
      <w:pPr>
        <w:widowControl/>
        <w:spacing w:line="360" w:lineRule="auto"/>
        <w:jc w:val="left"/>
        <w:rPr>
          <w:rFonts w:ascii="宋体" w:hAnsi="宋体" w:cs="宋体"/>
          <w:kern w:val="0"/>
          <w:szCs w:val="21"/>
        </w:rPr>
      </w:pPr>
      <w:r>
        <w:rPr>
          <w:rFonts w:hint="eastAsia" w:ascii="宋体" w:hAnsi="宋体" w:cs="宋体"/>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8C014D6">
      <w:pPr>
        <w:widowControl/>
        <w:spacing w:line="360" w:lineRule="auto"/>
        <w:jc w:val="left"/>
        <w:rPr>
          <w:rFonts w:ascii="宋体" w:hAnsi="宋体" w:cs="宋体"/>
          <w:kern w:val="0"/>
          <w:szCs w:val="21"/>
        </w:rPr>
      </w:pPr>
      <w:r>
        <w:rPr>
          <w:rFonts w:hint="eastAsia" w:ascii="宋体" w:hAnsi="宋体" w:cs="宋体"/>
          <w:kern w:val="0"/>
          <w:szCs w:val="21"/>
        </w:rPr>
        <w:t>　　四、采购人采购公开招标数额标准以上的货物或者服务，因落实促进残疾人就业政策的需要，依法履行有关报批程序后，可采用公开招标以外的采购方式。</w:t>
      </w:r>
    </w:p>
    <w:p w14:paraId="2BD528E0">
      <w:pPr>
        <w:widowControl/>
        <w:spacing w:line="360" w:lineRule="auto"/>
        <w:jc w:val="left"/>
        <w:rPr>
          <w:rFonts w:ascii="宋体" w:hAnsi="宋体" w:cs="宋体"/>
          <w:kern w:val="0"/>
          <w:szCs w:val="21"/>
        </w:rPr>
      </w:pPr>
      <w:r>
        <w:rPr>
          <w:rFonts w:hint="eastAsia" w:ascii="宋体" w:hAnsi="宋体" w:cs="宋体"/>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B267DED">
      <w:pPr>
        <w:widowControl/>
        <w:spacing w:line="360" w:lineRule="auto"/>
        <w:jc w:val="left"/>
        <w:rPr>
          <w:rFonts w:ascii="宋体" w:hAnsi="宋体" w:cs="宋体"/>
          <w:kern w:val="0"/>
          <w:szCs w:val="21"/>
        </w:rPr>
      </w:pPr>
      <w:r>
        <w:rPr>
          <w:rFonts w:hint="eastAsia" w:ascii="宋体" w:hAnsi="宋体" w:cs="宋体"/>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B2A89BE">
      <w:pPr>
        <w:widowControl/>
        <w:spacing w:line="360" w:lineRule="auto"/>
        <w:jc w:val="left"/>
        <w:rPr>
          <w:rFonts w:ascii="宋体" w:hAnsi="宋体" w:cs="宋体"/>
          <w:kern w:val="0"/>
          <w:szCs w:val="21"/>
        </w:rPr>
      </w:pPr>
      <w:r>
        <w:rPr>
          <w:rFonts w:hint="eastAsia" w:ascii="宋体" w:hAnsi="宋体" w:cs="宋体"/>
          <w:kern w:val="0"/>
          <w:szCs w:val="21"/>
        </w:rPr>
        <w:t>　　七、本通知自2017年10月1日起执行。</w:t>
      </w:r>
    </w:p>
    <w:p w14:paraId="4F1F51B0">
      <w:pPr>
        <w:widowControl/>
        <w:spacing w:line="360" w:lineRule="auto"/>
        <w:jc w:val="left"/>
        <w:rPr>
          <w:rFonts w:ascii="宋体" w:hAnsi="宋体" w:cs="宋体"/>
          <w:kern w:val="0"/>
          <w:szCs w:val="21"/>
        </w:rPr>
      </w:pPr>
      <w:r>
        <w:rPr>
          <w:rFonts w:ascii="宋体" w:hAnsi="宋体" w:cs="宋体"/>
          <w:kern w:val="0"/>
          <w:szCs w:val="21"/>
        </w:rPr>
        <w:t>　　</w:t>
      </w:r>
    </w:p>
    <w:p w14:paraId="29DE78EF">
      <w:pPr>
        <w:widowControl/>
        <w:spacing w:line="360" w:lineRule="auto"/>
        <w:jc w:val="right"/>
        <w:rPr>
          <w:rFonts w:ascii="宋体" w:hAnsi="宋体" w:cs="宋体"/>
          <w:kern w:val="0"/>
          <w:szCs w:val="21"/>
        </w:rPr>
      </w:pPr>
      <w:r>
        <w:rPr>
          <w:rFonts w:hint="eastAsia" w:ascii="宋体" w:hAnsi="宋体" w:cs="宋体"/>
          <w:kern w:val="0"/>
          <w:szCs w:val="21"/>
        </w:rPr>
        <w:t>财政部 民政部 中国残疾人联合会</w:t>
      </w:r>
    </w:p>
    <w:p w14:paraId="046F3579">
      <w:pPr>
        <w:widowControl/>
        <w:spacing w:line="360" w:lineRule="auto"/>
        <w:jc w:val="right"/>
        <w:rPr>
          <w:rFonts w:ascii="宋体" w:hAnsi="宋体" w:cs="宋体"/>
          <w:kern w:val="0"/>
          <w:szCs w:val="21"/>
        </w:rPr>
      </w:pPr>
    </w:p>
    <w:p w14:paraId="1FEADEF2">
      <w:pPr>
        <w:widowControl/>
        <w:spacing w:line="360" w:lineRule="auto"/>
        <w:jc w:val="right"/>
        <w:rPr>
          <w:rFonts w:ascii="宋体" w:hAnsi="宋体" w:cs="宋体"/>
          <w:kern w:val="0"/>
          <w:szCs w:val="21"/>
        </w:rPr>
      </w:pPr>
      <w:r>
        <w:rPr>
          <w:rFonts w:hint="eastAsia" w:ascii="宋体" w:hAnsi="宋体" w:cs="宋体"/>
          <w:kern w:val="0"/>
          <w:szCs w:val="21"/>
        </w:rPr>
        <w:t>  2017年8月22日</w:t>
      </w:r>
    </w:p>
    <w:p w14:paraId="65CC97F6">
      <w:pPr>
        <w:tabs>
          <w:tab w:val="left" w:pos="1875"/>
        </w:tabs>
        <w:rPr>
          <w:rFonts w:ascii="Calibri" w:hAnsi="Calibri"/>
          <w:szCs w:val="22"/>
        </w:rPr>
      </w:pPr>
    </w:p>
    <w:p w14:paraId="4DA70882">
      <w:pPr>
        <w:rPr>
          <w:rFonts w:ascii="Calibri" w:hAnsi="Calibri"/>
          <w:szCs w:val="22"/>
        </w:rPr>
      </w:pPr>
    </w:p>
    <w:p w14:paraId="1E8A3CB8">
      <w:pPr>
        <w:keepNext/>
        <w:keepLines/>
        <w:jc w:val="center"/>
        <w:outlineLvl w:val="2"/>
        <w:rPr>
          <w:rFonts w:ascii="宋体" w:hAnsi="宋体"/>
          <w:b/>
          <w:bCs/>
          <w:kern w:val="0"/>
          <w:sz w:val="28"/>
          <w:szCs w:val="32"/>
        </w:rPr>
      </w:pPr>
      <w:r>
        <w:rPr>
          <w:rFonts w:hint="eastAsia" w:ascii="宋体" w:hAnsi="宋体"/>
          <w:b/>
          <w:bCs/>
          <w:kern w:val="0"/>
          <w:sz w:val="28"/>
          <w:szCs w:val="32"/>
        </w:rPr>
        <w:t>五、财政部 司法部关于政府采购支持监狱企业发展有关问题的通知</w:t>
      </w:r>
      <w:r>
        <w:rPr>
          <w:rFonts w:ascii="宋体" w:hAnsi="宋体"/>
          <w:b/>
          <w:bCs/>
          <w:kern w:val="0"/>
          <w:sz w:val="28"/>
          <w:szCs w:val="32"/>
        </w:rPr>
        <w:t xml:space="preserve"> </w:t>
      </w:r>
    </w:p>
    <w:p w14:paraId="05372556">
      <w:pPr>
        <w:widowControl/>
        <w:spacing w:line="360" w:lineRule="auto"/>
        <w:jc w:val="center"/>
        <w:rPr>
          <w:rFonts w:ascii="宋体" w:hAnsi="宋体" w:cs="宋体"/>
          <w:kern w:val="0"/>
          <w:szCs w:val="21"/>
        </w:rPr>
      </w:pPr>
    </w:p>
    <w:p w14:paraId="5629D9B3">
      <w:pPr>
        <w:widowControl/>
        <w:spacing w:line="360" w:lineRule="auto"/>
        <w:jc w:val="center"/>
        <w:rPr>
          <w:rFonts w:ascii="宋体" w:hAnsi="宋体" w:cs="宋体"/>
          <w:kern w:val="0"/>
          <w:szCs w:val="21"/>
        </w:rPr>
      </w:pPr>
      <w:r>
        <w:rPr>
          <w:rFonts w:hint="eastAsia" w:ascii="宋体" w:hAnsi="宋体" w:cs="宋体"/>
          <w:kern w:val="0"/>
          <w:szCs w:val="21"/>
        </w:rPr>
        <w:t>财库〔2014〕68号</w:t>
      </w:r>
    </w:p>
    <w:p w14:paraId="296A3ACF">
      <w:pPr>
        <w:widowControl/>
        <w:spacing w:line="360" w:lineRule="auto"/>
        <w:jc w:val="left"/>
        <w:rPr>
          <w:rFonts w:ascii="宋体" w:hAnsi="宋体" w:cs="宋体"/>
          <w:kern w:val="0"/>
          <w:szCs w:val="21"/>
        </w:rPr>
      </w:pPr>
    </w:p>
    <w:p w14:paraId="5E3B61FC">
      <w:pPr>
        <w:widowControl/>
        <w:spacing w:line="360" w:lineRule="auto"/>
        <w:ind w:firstLine="424" w:firstLineChars="202"/>
        <w:jc w:val="left"/>
        <w:rPr>
          <w:rFonts w:ascii="宋体" w:hAnsi="宋体" w:cs="宋体"/>
          <w:kern w:val="0"/>
          <w:szCs w:val="21"/>
        </w:rPr>
      </w:pPr>
      <w:r>
        <w:rPr>
          <w:rFonts w:hint="eastAsia" w:ascii="宋体" w:hAnsi="宋体" w:cs="宋体"/>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FF9F6BD">
      <w:pPr>
        <w:widowControl/>
        <w:spacing w:line="360" w:lineRule="auto"/>
        <w:ind w:firstLine="424" w:firstLineChars="202"/>
        <w:jc w:val="left"/>
        <w:rPr>
          <w:rFonts w:ascii="宋体" w:hAnsi="宋体" w:cs="宋体"/>
          <w:kern w:val="0"/>
          <w:szCs w:val="21"/>
        </w:rPr>
      </w:pPr>
      <w:r>
        <w:rPr>
          <w:rFonts w:hint="eastAsia" w:ascii="宋体" w:hAnsi="宋体" w:cs="宋体"/>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宋体" w:hAnsi="宋体" w:cs="宋体"/>
          <w:kern w:val="0"/>
          <w:szCs w:val="21"/>
        </w:rPr>
        <w:t>[2003]7</w:t>
      </w:r>
      <w:r>
        <w:rPr>
          <w:rFonts w:hint="eastAsia" w:ascii="宋体" w:hAnsi="宋体" w:cs="宋体"/>
          <w:kern w:val="0"/>
          <w:szCs w:val="21"/>
        </w:rPr>
        <w:t>号）文件精神，发挥政府采购支持监狱企业发展的作用，现就有关事项通知如下：</w:t>
      </w:r>
    </w:p>
    <w:p w14:paraId="0DCB9A27">
      <w:pPr>
        <w:widowControl/>
        <w:spacing w:line="360" w:lineRule="auto"/>
        <w:ind w:firstLine="424" w:firstLineChars="202"/>
        <w:jc w:val="left"/>
        <w:rPr>
          <w:rFonts w:ascii="宋体" w:hAnsi="宋体" w:cs="宋体"/>
          <w:kern w:val="0"/>
          <w:szCs w:val="21"/>
        </w:rPr>
      </w:pPr>
      <w:r>
        <w:rPr>
          <w:rFonts w:hint="eastAsia" w:ascii="宋体" w:hAnsi="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DA469A2">
      <w:pPr>
        <w:widowControl/>
        <w:spacing w:line="360" w:lineRule="auto"/>
        <w:ind w:firstLine="424" w:firstLineChars="202"/>
        <w:jc w:val="left"/>
        <w:rPr>
          <w:rFonts w:ascii="宋体" w:hAnsi="宋体" w:cs="宋体"/>
          <w:kern w:val="0"/>
          <w:szCs w:val="21"/>
        </w:rPr>
      </w:pPr>
      <w:r>
        <w:rPr>
          <w:rFonts w:hint="eastAsia" w:ascii="宋体" w:hAnsi="宋体" w:cs="宋体"/>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7EA8225A">
      <w:pPr>
        <w:widowControl/>
        <w:spacing w:line="360" w:lineRule="auto"/>
        <w:ind w:firstLine="424" w:firstLineChars="202"/>
        <w:jc w:val="left"/>
        <w:rPr>
          <w:rFonts w:ascii="宋体" w:hAnsi="宋体" w:cs="宋体"/>
          <w:kern w:val="0"/>
          <w:szCs w:val="21"/>
        </w:rPr>
      </w:pPr>
      <w:r>
        <w:rPr>
          <w:rFonts w:hint="eastAsia" w:ascii="宋体" w:hAnsi="宋体" w:cs="宋体"/>
          <w:kern w:val="0"/>
          <w:szCs w:val="21"/>
        </w:rPr>
        <w:t>三、各地区、各部门要积极通过预留采购份额支持监狱企业。有制服采购项目的部门，应加强对政府采购预算和计划编制工作的统筹，预留本部门制服采购项目预算总额的</w:t>
      </w:r>
      <w:r>
        <w:rPr>
          <w:rFonts w:ascii="宋体" w:hAnsi="宋体" w:cs="宋体"/>
          <w:kern w:val="0"/>
          <w:szCs w:val="21"/>
        </w:rPr>
        <w:t>30%</w:t>
      </w:r>
      <w:r>
        <w:rPr>
          <w:rFonts w:hint="eastAsia" w:ascii="宋体" w:hAnsi="宋体" w:cs="宋体"/>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9607C93">
      <w:pPr>
        <w:widowControl/>
        <w:spacing w:line="360" w:lineRule="auto"/>
        <w:ind w:firstLine="424" w:firstLineChars="202"/>
        <w:jc w:val="left"/>
        <w:rPr>
          <w:rFonts w:ascii="宋体" w:hAnsi="宋体" w:cs="宋体"/>
          <w:kern w:val="0"/>
          <w:szCs w:val="21"/>
        </w:rPr>
      </w:pPr>
      <w:r>
        <w:rPr>
          <w:rFonts w:hint="eastAsia" w:ascii="宋体" w:hAnsi="宋体" w:cs="宋体"/>
          <w:kern w:val="0"/>
          <w:szCs w:val="21"/>
        </w:rPr>
        <w:t>四、各地区可以结合本地区实际，对监狱企业生产的办公用品、家具用具、车辆维修和提供的保养服务、消防设备等，提出预留份额等政府采购支持措施，加大对监狱企业产品的采购力度。</w:t>
      </w:r>
    </w:p>
    <w:p w14:paraId="1F8E9154">
      <w:pPr>
        <w:widowControl/>
        <w:spacing w:line="360" w:lineRule="auto"/>
        <w:ind w:firstLine="424" w:firstLineChars="202"/>
        <w:jc w:val="left"/>
        <w:rPr>
          <w:rFonts w:ascii="宋体" w:hAnsi="宋体" w:cs="宋体"/>
          <w:kern w:val="0"/>
          <w:szCs w:val="21"/>
        </w:rPr>
      </w:pPr>
      <w:r>
        <w:rPr>
          <w:rFonts w:hint="eastAsia" w:ascii="宋体" w:hAnsi="宋体" w:cs="宋体"/>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AF92395">
      <w:pPr>
        <w:widowControl/>
        <w:spacing w:line="360" w:lineRule="auto"/>
        <w:jc w:val="left"/>
        <w:rPr>
          <w:rFonts w:ascii="宋体" w:hAnsi="宋体" w:cs="宋体"/>
          <w:kern w:val="0"/>
          <w:szCs w:val="21"/>
        </w:rPr>
      </w:pPr>
    </w:p>
    <w:p w14:paraId="214ACF00">
      <w:pPr>
        <w:widowControl/>
        <w:spacing w:line="360" w:lineRule="auto"/>
        <w:jc w:val="right"/>
        <w:rPr>
          <w:rFonts w:ascii="宋体" w:hAnsi="宋体" w:cs="宋体"/>
          <w:kern w:val="0"/>
          <w:szCs w:val="21"/>
        </w:rPr>
      </w:pPr>
      <w:r>
        <w:rPr>
          <w:rFonts w:hint="eastAsia" w:ascii="宋体" w:hAnsi="宋体" w:cs="宋体"/>
          <w:kern w:val="0"/>
          <w:szCs w:val="21"/>
        </w:rPr>
        <w:t>中华人民共和国财政部</w:t>
      </w:r>
    </w:p>
    <w:p w14:paraId="1B2E9280">
      <w:pPr>
        <w:widowControl/>
        <w:spacing w:line="360" w:lineRule="auto"/>
        <w:jc w:val="right"/>
        <w:rPr>
          <w:rFonts w:ascii="宋体" w:hAnsi="宋体" w:cs="宋体"/>
          <w:kern w:val="0"/>
          <w:szCs w:val="21"/>
        </w:rPr>
      </w:pPr>
      <w:r>
        <w:rPr>
          <w:rFonts w:hint="eastAsia" w:ascii="宋体" w:hAnsi="宋体" w:cs="宋体"/>
          <w:kern w:val="0"/>
          <w:szCs w:val="21"/>
        </w:rPr>
        <w:t>中华人民共和国司法部</w:t>
      </w:r>
    </w:p>
    <w:p w14:paraId="60C0890A">
      <w:pPr>
        <w:widowControl/>
        <w:spacing w:line="360" w:lineRule="auto"/>
        <w:jc w:val="right"/>
        <w:rPr>
          <w:rFonts w:ascii="宋体" w:hAnsi="宋体" w:cs="宋体"/>
          <w:kern w:val="0"/>
          <w:szCs w:val="21"/>
        </w:rPr>
      </w:pPr>
      <w:r>
        <w:rPr>
          <w:rFonts w:hint="eastAsia" w:ascii="宋体" w:hAnsi="宋体" w:cs="宋体"/>
          <w:kern w:val="0"/>
          <w:szCs w:val="21"/>
        </w:rPr>
        <w:t>2014年6月10日</w:t>
      </w:r>
    </w:p>
    <w:p w14:paraId="0157FB24">
      <w:pPr>
        <w:pStyle w:val="3"/>
        <w:spacing w:before="0" w:after="0"/>
        <w:jc w:val="center"/>
        <w:rPr>
          <w:rFonts w:cs="宋体" w:asciiTheme="minorEastAsia" w:hAnsiTheme="minorEastAsia" w:eastAsiaTheme="minorEastAsia"/>
          <w:kern w:val="0"/>
          <w:szCs w:val="21"/>
        </w:rPr>
      </w:pPr>
    </w:p>
    <w:p w14:paraId="7F4F5BB7">
      <w:pPr>
        <w:widowControl/>
        <w:spacing w:line="360" w:lineRule="auto"/>
        <w:jc w:val="right"/>
        <w:rPr>
          <w:rFonts w:cs="宋体" w:asciiTheme="minorEastAsia" w:hAnsiTheme="minorEastAsia" w:eastAsiaTheme="minorEastAsia"/>
          <w:kern w:val="0"/>
          <w:szCs w:val="21"/>
        </w:rPr>
      </w:pPr>
    </w:p>
    <w:p w14:paraId="6338CF53">
      <w:pPr>
        <w:spacing w:line="240" w:lineRule="atLeast"/>
        <w:jc w:val="center"/>
        <w:rPr>
          <w:rFonts w:ascii="宋体" w:hAnsi="宋体"/>
          <w:b/>
          <w:bCs/>
          <w:kern w:val="0"/>
          <w:sz w:val="28"/>
          <w:szCs w:val="28"/>
        </w:rPr>
      </w:pPr>
    </w:p>
    <w:p w14:paraId="2DC47B8F">
      <w:pPr>
        <w:spacing w:line="240" w:lineRule="atLeast"/>
        <w:jc w:val="center"/>
        <w:rPr>
          <w:rFonts w:ascii="宋体" w:hAnsi="宋体"/>
          <w:b/>
          <w:bCs/>
          <w:kern w:val="0"/>
          <w:sz w:val="28"/>
          <w:szCs w:val="28"/>
        </w:rPr>
      </w:pPr>
    </w:p>
    <w:p w14:paraId="6483713B">
      <w:pPr>
        <w:spacing w:line="240" w:lineRule="atLeast"/>
        <w:jc w:val="center"/>
        <w:rPr>
          <w:rFonts w:ascii="宋体" w:hAnsi="宋体"/>
          <w:b/>
          <w:bCs/>
          <w:kern w:val="0"/>
          <w:sz w:val="28"/>
          <w:szCs w:val="28"/>
        </w:rPr>
      </w:pPr>
    </w:p>
    <w:p w14:paraId="1B97669C">
      <w:pPr>
        <w:spacing w:line="240" w:lineRule="atLeast"/>
        <w:jc w:val="center"/>
        <w:rPr>
          <w:rFonts w:ascii="宋体" w:hAnsi="宋体"/>
          <w:b/>
          <w:bCs/>
          <w:kern w:val="0"/>
          <w:sz w:val="28"/>
          <w:szCs w:val="28"/>
        </w:rPr>
      </w:pPr>
    </w:p>
    <w:p w14:paraId="70424A68">
      <w:pPr>
        <w:spacing w:line="240" w:lineRule="atLeast"/>
        <w:jc w:val="center"/>
        <w:rPr>
          <w:rFonts w:ascii="宋体" w:hAnsi="宋体"/>
          <w:b/>
          <w:bCs/>
          <w:kern w:val="0"/>
          <w:sz w:val="28"/>
          <w:szCs w:val="28"/>
        </w:rPr>
      </w:pPr>
    </w:p>
    <w:p w14:paraId="1F0B8B3D">
      <w:pPr>
        <w:spacing w:line="240" w:lineRule="atLeast"/>
        <w:jc w:val="center"/>
        <w:rPr>
          <w:rFonts w:ascii="宋体" w:hAnsi="宋体"/>
          <w:b/>
          <w:bCs/>
          <w:kern w:val="0"/>
          <w:sz w:val="28"/>
          <w:szCs w:val="28"/>
        </w:rPr>
      </w:pPr>
    </w:p>
    <w:p w14:paraId="2854C8A0">
      <w:pPr>
        <w:spacing w:line="240" w:lineRule="atLeast"/>
        <w:jc w:val="center"/>
        <w:rPr>
          <w:rFonts w:ascii="宋体" w:hAnsi="宋体"/>
          <w:b/>
          <w:bCs/>
          <w:kern w:val="0"/>
          <w:sz w:val="28"/>
          <w:szCs w:val="28"/>
        </w:rPr>
      </w:pPr>
    </w:p>
    <w:p w14:paraId="703D195C">
      <w:pPr>
        <w:spacing w:line="240" w:lineRule="atLeast"/>
        <w:jc w:val="center"/>
        <w:rPr>
          <w:rFonts w:ascii="宋体" w:hAnsi="宋体"/>
          <w:b/>
          <w:bCs/>
          <w:kern w:val="0"/>
          <w:sz w:val="28"/>
          <w:szCs w:val="28"/>
        </w:rPr>
      </w:pPr>
    </w:p>
    <w:p w14:paraId="163EAC04">
      <w:pPr>
        <w:widowControl/>
        <w:jc w:val="left"/>
        <w:rPr>
          <w:rFonts w:ascii="宋体" w:hAnsi="宋体"/>
          <w:b/>
          <w:bCs/>
          <w:kern w:val="0"/>
          <w:sz w:val="28"/>
          <w:szCs w:val="28"/>
        </w:rPr>
      </w:pPr>
      <w:r>
        <w:rPr>
          <w:rFonts w:ascii="宋体" w:hAnsi="宋体"/>
          <w:b/>
          <w:bCs/>
          <w:kern w:val="0"/>
          <w:sz w:val="28"/>
          <w:szCs w:val="28"/>
        </w:rPr>
        <w:br w:type="page"/>
      </w:r>
    </w:p>
    <w:p w14:paraId="3DAC145B">
      <w:pPr>
        <w:spacing w:line="240" w:lineRule="atLeast"/>
        <w:jc w:val="center"/>
        <w:rPr>
          <w:rFonts w:ascii="宋体" w:hAnsi="宋体"/>
          <w:b/>
          <w:bCs/>
          <w:kern w:val="0"/>
          <w:sz w:val="28"/>
          <w:szCs w:val="28"/>
        </w:rPr>
      </w:pPr>
    </w:p>
    <w:p w14:paraId="53F2355A">
      <w:pPr>
        <w:pStyle w:val="5"/>
        <w:spacing w:before="120" w:beforeLines="50" w:after="120" w:afterLines="50" w:line="360" w:lineRule="auto"/>
        <w:ind w:left="562"/>
        <w:rPr>
          <w:rFonts w:asciiTheme="majorEastAsia" w:hAnsiTheme="majorEastAsia" w:eastAsiaTheme="majorEastAsia"/>
          <w:sz w:val="32"/>
          <w:szCs w:val="32"/>
        </w:rPr>
      </w:pPr>
      <w:r>
        <w:rPr>
          <w:rFonts w:hint="eastAsia" w:asciiTheme="majorEastAsia" w:hAnsiTheme="majorEastAsia" w:eastAsiaTheme="majorEastAsia"/>
          <w:sz w:val="32"/>
          <w:szCs w:val="32"/>
        </w:rPr>
        <w:t>第二册  通用条款（公开招标）</w:t>
      </w:r>
    </w:p>
    <w:p w14:paraId="5414BDC1">
      <w:pPr>
        <w:pStyle w:val="5"/>
        <w:widowControl/>
        <w:numPr>
          <w:ilvl w:val="0"/>
          <w:numId w:val="7"/>
        </w:numPr>
        <w:spacing w:before="120" w:beforeLines="50" w:after="120" w:afterLines="50" w:line="360" w:lineRule="auto"/>
        <w:ind w:left="562" w:hanging="562"/>
        <w:rPr>
          <w:rFonts w:asciiTheme="majorEastAsia" w:hAnsiTheme="majorEastAsia" w:eastAsiaTheme="majorEastAsia"/>
          <w:sz w:val="28"/>
          <w:szCs w:val="28"/>
        </w:rPr>
      </w:pPr>
      <w:bookmarkStart w:id="25" w:name="_Hlk72399513"/>
      <w:r>
        <w:rPr>
          <w:rFonts w:hint="eastAsia" w:asciiTheme="majorEastAsia" w:hAnsiTheme="majorEastAsia" w:eastAsiaTheme="majorEastAsia"/>
          <w:sz w:val="28"/>
          <w:szCs w:val="28"/>
        </w:rPr>
        <w:t>总则</w:t>
      </w:r>
    </w:p>
    <w:bookmarkEnd w:id="25"/>
    <w:p w14:paraId="0930FA59">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 通用条款说明</w:t>
      </w:r>
    </w:p>
    <w:p w14:paraId="344FF69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1.1采购代理机构发出招标文件通用条款版本，列出深圳市政府采购项目进行招标采购所适用的通用条款内容。</w:t>
      </w:r>
      <w:bookmarkStart w:id="26" w:name="_Hlk72399729"/>
      <w:r>
        <w:rPr>
          <w:rFonts w:hint="eastAsia" w:asciiTheme="majorEastAsia" w:hAnsiTheme="majorEastAsia" w:eastAsiaTheme="majorEastAsia"/>
          <w:szCs w:val="21"/>
        </w:rPr>
        <w:t>如有需要，采购代理机构可以对通用条款的内容进行补充。</w:t>
      </w:r>
      <w:bookmarkEnd w:id="26"/>
    </w:p>
    <w:p w14:paraId="5A9D8B4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1.2招标文件分为第一册“专用条款”和第二册“通用条款”。</w:t>
      </w:r>
    </w:p>
    <w:p w14:paraId="531F45A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1.3“专用条款”是对本次采购项目的具体要求，包含招标公告、对通用条款的补充内容及其他关键信息、用户需求书、投标文件格式及附件、合同条款及格式等内容。</w:t>
      </w:r>
    </w:p>
    <w:p w14:paraId="03C4BA2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1.4“通用条款”是适用于政府采购公开招标项目的基础性条款，具有普遍性和通用性。</w:t>
      </w:r>
    </w:p>
    <w:p w14:paraId="0C16533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1.5 “专用条款”和“通用条款”表述不一致或有冲突时，以“专用条款”为准。</w:t>
      </w:r>
    </w:p>
    <w:p w14:paraId="08ED241B">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2</w:t>
      </w:r>
      <w:r>
        <w:rPr>
          <w:rFonts w:asciiTheme="majorEastAsia" w:hAnsiTheme="majorEastAsia" w:eastAsiaTheme="majorEastAsia"/>
          <w:b/>
          <w:bCs/>
          <w:szCs w:val="21"/>
        </w:rPr>
        <w:t>．</w:t>
      </w:r>
      <w:r>
        <w:rPr>
          <w:rFonts w:hint="eastAsia" w:asciiTheme="majorEastAsia" w:hAnsiTheme="majorEastAsia" w:eastAsiaTheme="majorEastAsia"/>
          <w:b/>
          <w:bCs/>
          <w:szCs w:val="21"/>
        </w:rPr>
        <w:t>招标说明</w:t>
      </w:r>
    </w:p>
    <w:p w14:paraId="3DA01B1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本项目按照《深圳经济特区政府采购条例》、《深圳经济特区政府采购条例实施细则》及政府采购其他法律法规，通过公开招标方式确定中标供应商。</w:t>
      </w:r>
    </w:p>
    <w:p w14:paraId="5B037A28">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3．定义</w:t>
      </w:r>
    </w:p>
    <w:p w14:paraId="7A9CB251">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招标文件中下列术语应解释为：</w:t>
      </w:r>
    </w:p>
    <w:p w14:paraId="663D26B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1</w:t>
      </w:r>
      <w:r>
        <w:rPr>
          <w:rFonts w:hint="eastAsia" w:asciiTheme="majorEastAsia" w:hAnsiTheme="majorEastAsia" w:eastAsiaTheme="majorEastAsia"/>
          <w:szCs w:val="21"/>
        </w:rPr>
        <w:t>“采购人”：指利用财政性资金依法进行政府采购的国家机关、事业单位、团体组织；</w:t>
      </w:r>
    </w:p>
    <w:p w14:paraId="123280E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 “政府集中采购机构”</w:t>
      </w:r>
      <w:r>
        <w:rPr>
          <w:rFonts w:hint="eastAsia" w:cs="Arial" w:asciiTheme="majorEastAsia" w:hAnsiTheme="majorEastAsia" w:eastAsiaTheme="majorEastAsia"/>
          <w:szCs w:val="21"/>
          <w:shd w:val="clear" w:color="auto" w:fill="FFFFFF"/>
        </w:rPr>
        <w:t>是指市政府设立的，对纳入集中采购目录内的采购项目组织实施采购，并对政府采购活动提供服务的专门机构；</w:t>
      </w:r>
      <w:r>
        <w:rPr>
          <w:rFonts w:hint="eastAsia" w:asciiTheme="majorEastAsia" w:hAnsiTheme="majorEastAsia" w:eastAsiaTheme="majorEastAsia"/>
          <w:szCs w:val="21"/>
        </w:rPr>
        <w:t>本文件所述的“政府集中采购机构”</w:t>
      </w:r>
      <w:r>
        <w:rPr>
          <w:rFonts w:asciiTheme="majorEastAsia" w:hAnsiTheme="majorEastAsia" w:eastAsiaTheme="majorEastAsia"/>
          <w:szCs w:val="21"/>
        </w:rPr>
        <w:t>指</w:t>
      </w:r>
      <w:r>
        <w:rPr>
          <w:rFonts w:hint="eastAsia" w:asciiTheme="majorEastAsia" w:hAnsiTheme="majorEastAsia" w:eastAsiaTheme="majorEastAsia"/>
          <w:szCs w:val="21"/>
        </w:rPr>
        <w:t>深圳公共资源交易中心；</w:t>
      </w:r>
    </w:p>
    <w:p w14:paraId="22BDC16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3.3“采购代理机构”是指根据采购人委托，代理政府采购事宜的社会采购代理机构。本招标文件的招标机构特指</w:t>
      </w:r>
      <w:r>
        <w:rPr>
          <w:rFonts w:hint="eastAsia" w:asciiTheme="majorEastAsia" w:hAnsiTheme="majorEastAsia" w:eastAsiaTheme="majorEastAsia"/>
          <w:b/>
          <w:bCs/>
          <w:szCs w:val="21"/>
        </w:rPr>
        <w:t>深圳市中正招标有限公司；</w:t>
      </w:r>
    </w:p>
    <w:p w14:paraId="23EE07B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3.4“投标人”，即供应商，指参加投标竞争并愿意按照招标文件要求向采购人提供货物、工程或者服务的依法成立的法人、其他组织或者自然人；</w:t>
      </w:r>
    </w:p>
    <w:p w14:paraId="4C93E6A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3.5“评审委员会”是依据《深圳经济特区政府采购条例》、《深圳经济特区政府采购条例实施细则》等有关规定组建的专门负责本次招标其评审工作的临时性机构；</w:t>
      </w:r>
    </w:p>
    <w:p w14:paraId="2069AE7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3.6“日期”</w:t>
      </w:r>
      <w:r>
        <w:rPr>
          <w:rFonts w:asciiTheme="majorEastAsia" w:hAnsiTheme="majorEastAsia" w:eastAsiaTheme="majorEastAsia"/>
          <w:szCs w:val="21"/>
        </w:rPr>
        <w:t>指</w:t>
      </w:r>
      <w:r>
        <w:rPr>
          <w:rFonts w:hint="eastAsia" w:asciiTheme="majorEastAsia" w:hAnsiTheme="majorEastAsia" w:eastAsiaTheme="majorEastAsia"/>
          <w:szCs w:val="21"/>
        </w:rPr>
        <w:t>公历日；</w:t>
      </w:r>
    </w:p>
    <w:p w14:paraId="3F2966B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3.7“合同”指由本次招标所产生的合同或合约文件；</w:t>
      </w:r>
    </w:p>
    <w:p w14:paraId="1D513DE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3.8“电子投标文件”指利用</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站提供的深圳智慧采购平台投标文件制作专用软件（以下简称：投标文件制作软件）制作并加密的投标文件,适用于网上投标；（投标文件制作软件可从“下载地址：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TPBidder/DownLoad/深圳市智慧采购平台投标文件制作专用软件.zip”下载）；</w:t>
      </w:r>
    </w:p>
    <w:p w14:paraId="4285F14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3.9“网上投标”指通过</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站上传电子投标文件；</w:t>
      </w:r>
    </w:p>
    <w:p w14:paraId="744C682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3.10招标文件中的标题或题名仅起引导作用，而不应视为对招标文件内容的理解和解释。</w:t>
      </w:r>
    </w:p>
    <w:p w14:paraId="12A2AE55">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 xml:space="preserve">4. </w:t>
      </w:r>
      <w:bookmarkStart w:id="27" w:name="_Hlk72398643"/>
      <w:r>
        <w:rPr>
          <w:rFonts w:hint="eastAsia" w:asciiTheme="majorEastAsia" w:hAnsiTheme="majorEastAsia" w:eastAsiaTheme="majorEastAsia"/>
          <w:b/>
          <w:bCs/>
          <w:szCs w:val="21"/>
        </w:rPr>
        <w:t>政府采购供应商责任</w:t>
      </w:r>
    </w:p>
    <w:p w14:paraId="1CDA533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4.1欢迎诚信、有实力和有社会责任心的供应商参与政府采购事业。</w:t>
      </w:r>
    </w:p>
    <w:p w14:paraId="7408329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4.2投标人应当遵循公平竞争的原则，不得恶意串通，不得妨碍其他投标人的竞争行为，不得损害采购人或者其他投标人的合法权益。如违反上述要求，经核实后，供应商的投标无效。</w:t>
      </w:r>
    </w:p>
    <w:p w14:paraId="10B33630">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5．投标人参加政府采购的条件</w:t>
      </w:r>
    </w:p>
    <w:p w14:paraId="7B6BAE7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5.1投标人应在投标前到</w:t>
      </w:r>
      <w:r>
        <w:rPr>
          <w:rFonts w:hint="eastAsia" w:asciiTheme="majorEastAsia" w:hAnsiTheme="majorEastAsia" w:eastAsiaTheme="majorEastAsia"/>
          <w:b/>
          <w:bCs/>
          <w:szCs w:val="21"/>
        </w:rPr>
        <w:t>深圳公共资源交易中心（具体在深圳交易集团有限公司政府采购业务分公司进行办理）</w:t>
      </w:r>
      <w:r>
        <w:rPr>
          <w:rFonts w:hint="eastAsia" w:asciiTheme="majorEastAsia" w:hAnsiTheme="majorEastAsia" w:eastAsiaTheme="majorEastAsia"/>
          <w:szCs w:val="21"/>
        </w:rPr>
        <w:t>进行注册并办理电子密钥。《</w:t>
      </w:r>
      <w:r>
        <w:fldChar w:fldCharType="begin"/>
      </w:r>
      <w:r>
        <w:instrText xml:space="preserve"> HYPERLINK "http://www.szzfcg.cn/viewer.do?id=2455258" \t "documentViewer2455258" </w:instrText>
      </w:r>
      <w:r>
        <w:fldChar w:fldCharType="separate"/>
      </w:r>
      <w:r>
        <w:rPr>
          <w:rFonts w:asciiTheme="majorEastAsia" w:hAnsiTheme="majorEastAsia" w:eastAsiaTheme="majorEastAsia"/>
          <w:szCs w:val="21"/>
        </w:rPr>
        <w:t>供应商注册及电子密钥新申请指引</w:t>
      </w:r>
      <w:r>
        <w:rPr>
          <w:rFonts w:asciiTheme="majorEastAsia" w:hAnsiTheme="majorEastAsia" w:eastAsiaTheme="majorEastAsia"/>
          <w:szCs w:val="21"/>
        </w:rPr>
        <w:fldChar w:fldCharType="end"/>
      </w:r>
      <w:r>
        <w:rPr>
          <w:rFonts w:hint="eastAsia" w:asciiTheme="majorEastAsia" w:hAnsiTheme="majorEastAsia" w:eastAsiaTheme="majorEastAsia"/>
          <w:szCs w:val="21"/>
        </w:rPr>
        <w:t>》详见</w:t>
      </w:r>
      <w:r>
        <w:rPr>
          <w:rFonts w:asciiTheme="majorEastAsia" w:hAnsiTheme="majorEastAsia" w:eastAsiaTheme="majorEastAsia"/>
          <w:szCs w:val="21"/>
        </w:rPr>
        <w:t>http://zfcg.szggzy.com/</w:t>
      </w:r>
      <w:r>
        <w:rPr>
          <w:rFonts w:hint="eastAsia" w:asciiTheme="majorEastAsia" w:hAnsiTheme="majorEastAsia" w:eastAsiaTheme="majorEastAsia"/>
          <w:szCs w:val="21"/>
        </w:rPr>
        <w:t>。</w:t>
      </w:r>
    </w:p>
    <w:p w14:paraId="5BA3908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5.2投标人资格要求</w:t>
      </w:r>
    </w:p>
    <w:p w14:paraId="3CCEEBC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参加本项目的投标人应具备的资格条件详见本项目招标公告中 “投标人资格要求”（即申请人的资格要求）的内容。</w:t>
      </w:r>
    </w:p>
    <w:p w14:paraId="46A6216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5.3联合体投标</w:t>
      </w:r>
    </w:p>
    <w:p w14:paraId="3226F13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5.3.1　以下有关联合体投标的条款仅适用于允许投标人组成联合体投标的项目。</w:t>
      </w:r>
    </w:p>
    <w:p w14:paraId="7E58F05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5.3.2  由两个或两个以上的自然人、法人或者其他组织可以组成一个联合体，以一个供应商的身份共同投标时，应符合以下原则：</w:t>
      </w:r>
    </w:p>
    <w:p w14:paraId="48FA648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（1）投标联合体各方参加政府采购活动应当具备下列条件：</w:t>
      </w:r>
    </w:p>
    <w:p w14:paraId="2783FD2D">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1、具有独立承担民事责任的能力；</w:t>
      </w:r>
    </w:p>
    <w:p w14:paraId="57E546D2">
      <w:pPr>
        <w:spacing w:line="360" w:lineRule="auto"/>
        <w:ind w:left="420" w:firstLine="411" w:firstLineChars="196"/>
        <w:rPr>
          <w:rFonts w:asciiTheme="majorEastAsia" w:hAnsiTheme="majorEastAsia" w:eastAsiaTheme="majorEastAsia"/>
          <w:szCs w:val="21"/>
        </w:rPr>
      </w:pPr>
      <w:r>
        <w:rPr>
          <w:rFonts w:hint="eastAsia" w:asciiTheme="majorEastAsia" w:hAnsiTheme="majorEastAsia" w:eastAsiaTheme="majorEastAsia"/>
          <w:szCs w:val="21"/>
        </w:rPr>
        <w:t>2、有良好的商业信誉和健全的财务会计制度；</w:t>
      </w:r>
    </w:p>
    <w:p w14:paraId="22DE7698">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3、具有履行合同所必需的设备和专业技术能力；</w:t>
      </w:r>
    </w:p>
    <w:p w14:paraId="0E504FE4">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4、有依法缴纳税收和社会保障资金的良好记录；</w:t>
      </w:r>
    </w:p>
    <w:p w14:paraId="7D62A1B4">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5、参加政府采购活动前三年内，在经营活动中没有重大违法记录；</w:t>
      </w:r>
    </w:p>
    <w:p w14:paraId="21E0DC93">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6、法律、行政法规规定的其他条件。</w:t>
      </w:r>
    </w:p>
    <w:p w14:paraId="19676210">
      <w:pPr>
        <w:spacing w:line="360" w:lineRule="auto"/>
        <w:ind w:firstLine="411" w:firstLineChars="196"/>
        <w:rPr>
          <w:rFonts w:ascii="宋体" w:hAnsi="宋体"/>
          <w:szCs w:val="21"/>
        </w:rPr>
      </w:pPr>
      <w:r>
        <w:rPr>
          <w:rFonts w:hint="eastAsia" w:ascii="宋体" w:hAnsi="宋体"/>
          <w:szCs w:val="21"/>
        </w:rPr>
        <w:t>（2）联合体中有同类资质的供应商按照联合体分工承担相同工作的，应当按照资质等级较低的供应商确定资质等级；</w:t>
      </w:r>
    </w:p>
    <w:p w14:paraId="1239CDAA">
      <w:pPr>
        <w:spacing w:line="360" w:lineRule="auto"/>
        <w:ind w:firstLine="411" w:firstLineChars="196"/>
        <w:rPr>
          <w:rFonts w:ascii="宋体" w:hAnsi="宋体"/>
          <w:szCs w:val="21"/>
        </w:rPr>
      </w:pPr>
      <w:r>
        <w:rPr>
          <w:rFonts w:hint="eastAsia" w:ascii="宋体" w:hAnsi="宋体"/>
          <w:szCs w:val="21"/>
        </w:rPr>
        <w:t>（3）是否允许联合体参加投标，应当由采购人和采购代理机构根据项目的实际情况和潜在供应商的数量自主决定，如果决定接受联合体投标则应当在招标公告中明示；</w:t>
      </w:r>
    </w:p>
    <w:p w14:paraId="3293A31C">
      <w:pPr>
        <w:spacing w:line="360" w:lineRule="auto"/>
        <w:ind w:firstLine="411" w:firstLineChars="196"/>
        <w:rPr>
          <w:rFonts w:ascii="宋体" w:hAnsi="宋体"/>
          <w:szCs w:val="21"/>
        </w:rPr>
      </w:pPr>
      <w:r>
        <w:rPr>
          <w:rFonts w:hint="eastAsia" w:ascii="宋体" w:hAnsi="宋体"/>
          <w:szCs w:val="21"/>
        </w:rPr>
        <w:t>（4）投标人的投标文件及中标后签署的合同协议对联合体各方均具法律约束力；</w:t>
      </w:r>
    </w:p>
    <w:p w14:paraId="52DCAC35">
      <w:pPr>
        <w:spacing w:line="360" w:lineRule="auto"/>
        <w:ind w:firstLine="411" w:firstLineChars="196"/>
        <w:rPr>
          <w:rFonts w:ascii="宋体" w:hAnsi="宋体"/>
          <w:szCs w:val="21"/>
        </w:rPr>
      </w:pPr>
      <w:r>
        <w:rPr>
          <w:rFonts w:hint="eastAsia" w:ascii="宋体" w:hAnsi="宋体"/>
          <w:szCs w:val="21"/>
        </w:rPr>
        <w:t>（5）联合体各方应当签订联合体投标协议，明确约定各方拟承担的工作和责任，并将该协议随投标文件一并递交给采购代理机构；</w:t>
      </w:r>
    </w:p>
    <w:p w14:paraId="79AE276E">
      <w:pPr>
        <w:spacing w:line="360" w:lineRule="auto"/>
        <w:ind w:firstLine="411" w:firstLineChars="196"/>
        <w:rPr>
          <w:rFonts w:ascii="宋体" w:hAnsi="宋体"/>
          <w:szCs w:val="21"/>
        </w:rPr>
      </w:pPr>
      <w:r>
        <w:rPr>
          <w:rFonts w:hint="eastAsia" w:ascii="宋体" w:hAnsi="宋体"/>
          <w:szCs w:val="21"/>
        </w:rPr>
        <w:t>（6）联合体中标后，联合体各方应当共同与采购人签订合同，就中标项目向采购人承担连带责任；</w:t>
      </w:r>
    </w:p>
    <w:p w14:paraId="1D15E1D9">
      <w:pPr>
        <w:spacing w:line="360" w:lineRule="auto"/>
        <w:ind w:firstLine="411" w:firstLineChars="196"/>
        <w:rPr>
          <w:rFonts w:ascii="宋体" w:hAnsi="宋体"/>
          <w:szCs w:val="21"/>
        </w:rPr>
      </w:pPr>
      <w:r>
        <w:rPr>
          <w:rFonts w:hint="eastAsia" w:ascii="宋体" w:hAnsi="宋体"/>
          <w:szCs w:val="21"/>
        </w:rPr>
        <w:t>（7）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FC7B614">
      <w:pPr>
        <w:spacing w:line="360" w:lineRule="auto"/>
        <w:ind w:firstLine="411" w:firstLineChars="196"/>
        <w:rPr>
          <w:rFonts w:ascii="宋体" w:hAnsi="宋体"/>
          <w:szCs w:val="21"/>
        </w:rPr>
      </w:pPr>
      <w:r>
        <w:rPr>
          <w:rFonts w:hint="eastAsia" w:ascii="宋体" w:hAnsi="宋体"/>
          <w:szCs w:val="21"/>
        </w:rPr>
        <w:t>（8）本通用条款中“投标人”一词亦指联合体各方，专用条款另有规定或说明的除外。</w:t>
      </w:r>
    </w:p>
    <w:p w14:paraId="74382BE3">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6．政策导向</w:t>
      </w:r>
    </w:p>
    <w:p w14:paraId="0C27B6E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6.1政府采购扶持贫困地区、中小企业、监狱企业和残疾人福利性单位发展，支持节能减排、环境保护。</w:t>
      </w:r>
    </w:p>
    <w:p w14:paraId="786D6362">
      <w:pPr>
        <w:spacing w:line="360" w:lineRule="auto"/>
        <w:ind w:firstLine="405"/>
        <w:rPr>
          <w:rFonts w:asciiTheme="majorEastAsia" w:hAnsiTheme="majorEastAsia" w:eastAsiaTheme="majorEastAsia"/>
          <w:szCs w:val="21"/>
          <w:shd w:val="clear" w:color="auto" w:fill="FFFFFF"/>
        </w:rPr>
      </w:pPr>
      <w:r>
        <w:rPr>
          <w:rFonts w:hint="eastAsia" w:asciiTheme="majorEastAsia" w:hAnsiTheme="majorEastAsia" w:eastAsiaTheme="majorEastAsia"/>
          <w:szCs w:val="21"/>
        </w:rPr>
        <w:t>6.2本项目落实深圳市政府采购供应商诚信管理政策要求。</w:t>
      </w:r>
    </w:p>
    <w:p w14:paraId="1C9C50A7">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7. 本项目若涉及采购货物，则合格的货物及相应服务应满足以下要求：</w:t>
      </w:r>
    </w:p>
    <w:p w14:paraId="35A385B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 xml:space="preserve">.1  </w:t>
      </w:r>
      <w:r>
        <w:rPr>
          <w:rFonts w:hint="eastAsia" w:asciiTheme="majorEastAsia" w:hAnsiTheme="majorEastAsia" w:eastAsiaTheme="majorEastAsia"/>
          <w:szCs w:val="21"/>
        </w:rPr>
        <w:t>必须是全新、未使用过的原装合格正品（包括零部件），如安装或配置了软件的，须为正版软件。</w:t>
      </w:r>
    </w:p>
    <w:p w14:paraId="7EB4D4F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7.2  国产的货物及其有关服务必须符合中华人民共和国的设计、制造生产标准及行业标准。招标公告有其他要求的，亦应符合其要求。</w:t>
      </w:r>
    </w:p>
    <w:p w14:paraId="49EC57F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54D724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4投标人</w:t>
      </w:r>
      <w:bookmarkStart w:id="28" w:name="_Hlk72152753"/>
      <w:r>
        <w:rPr>
          <w:rFonts w:hint="eastAsia" w:asciiTheme="majorEastAsia" w:hAnsiTheme="majorEastAsia" w:eastAsiaTheme="major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8"/>
    </w:p>
    <w:p w14:paraId="5231DC1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016FE38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7.6  工期要求：投标人在投标时对其所投项目应提交交货进度、交货计划等，在合同规定的时间内完成项目实施工作。</w:t>
      </w:r>
    </w:p>
    <w:p w14:paraId="001B2DA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7.7  投标人必须承担的设备运输、安装调试、验收检测和提供设备操作说明书、图纸等其他相关及类似的义务。</w:t>
      </w:r>
    </w:p>
    <w:p w14:paraId="1E03424D">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8．投标费用</w:t>
      </w:r>
    </w:p>
    <w:p w14:paraId="1832CBE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不论投标结果如何，投标人应承担其编制投标文件与递交投标文件所涉及的一切费用。</w:t>
      </w:r>
    </w:p>
    <w:p w14:paraId="7DBFD915">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9．踏勘现场</w:t>
      </w:r>
    </w:p>
    <w:p w14:paraId="417FB85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988420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9.2投标人及其人员经过采购人的允许，可以进入采购人的项目现场踏勘。若招标文件要求投标人于统一时间地点踏勘现场的，投标人应当按时前往。</w:t>
      </w:r>
    </w:p>
    <w:p w14:paraId="3ACDF55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9.3采购人应当通过采购代理机构向投标人提供有关现场的书面资料和数据。</w:t>
      </w:r>
    </w:p>
    <w:p w14:paraId="2F4CE2D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9.4任何人或任何组织在踏勘现场时向投标人提供的任何书面资料或口头承诺，未经采购代理机构在网上发布或书面通知，均作无效处理。</w:t>
      </w:r>
    </w:p>
    <w:p w14:paraId="5A1B0A4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9</w:t>
      </w:r>
      <w:r>
        <w:rPr>
          <w:rFonts w:hint="eastAsia" w:asciiTheme="majorEastAsia" w:hAnsiTheme="majorEastAsia" w:eastAsiaTheme="majorEastAsia"/>
          <w:szCs w:val="21"/>
        </w:rPr>
        <w:t>.</w:t>
      </w:r>
      <w:r>
        <w:rPr>
          <w:rFonts w:asciiTheme="majorEastAsia" w:hAnsiTheme="majorEastAsia" w:eastAsiaTheme="majorEastAsia"/>
          <w:szCs w:val="21"/>
        </w:rPr>
        <w:t>5</w:t>
      </w:r>
      <w:r>
        <w:rPr>
          <w:rFonts w:hint="eastAsia" w:asciiTheme="majorEastAsia" w:hAnsiTheme="majorEastAsia" w:eastAsiaTheme="majorEastAsia"/>
          <w:szCs w:val="21"/>
        </w:rPr>
        <w:t>未参与踏勘现场不作为否定投标人资格的理由。</w:t>
      </w:r>
    </w:p>
    <w:p w14:paraId="7FC47348">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0</w:t>
      </w:r>
      <w:r>
        <w:rPr>
          <w:rFonts w:hint="eastAsia" w:asciiTheme="majorEastAsia" w:hAnsiTheme="majorEastAsia" w:eastAsiaTheme="majorEastAsia"/>
          <w:b/>
          <w:bCs/>
          <w:szCs w:val="21"/>
        </w:rPr>
        <w:t>．标前会议</w:t>
      </w:r>
    </w:p>
    <w:p w14:paraId="52E9F38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如采购人或采购代理机构认为有必要组织标前会议，投标人应按照招标文件规定的时间或采购代理机构另行书面通知（包括采购代理机构网站发布方式，如更正公告等）的时间和地点，参与标前会议。</w:t>
      </w:r>
    </w:p>
    <w:p w14:paraId="6ECE2D8C">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任何人或任何组织在标前会议时向投标人提供的任何书面资料或口头承诺，未经采购代理机构在网上发布或书面通知，均作无效处理。</w:t>
      </w:r>
    </w:p>
    <w:p w14:paraId="607BEF2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3</w:t>
      </w:r>
      <w:r>
        <w:rPr>
          <w:rFonts w:hint="eastAsia" w:asciiTheme="majorEastAsia" w:hAnsiTheme="majorEastAsia" w:eastAsiaTheme="majorEastAsia"/>
          <w:szCs w:val="21"/>
        </w:rPr>
        <w:t>未参与标前会议不作为否定投标人资格的理由。</w:t>
      </w:r>
    </w:p>
    <w:bookmarkEnd w:id="27"/>
    <w:p w14:paraId="2F3966D9">
      <w:pPr>
        <w:pStyle w:val="5"/>
        <w:widowControl/>
        <w:numPr>
          <w:ilvl w:val="0"/>
          <w:numId w:val="7"/>
        </w:numPr>
        <w:spacing w:before="120" w:beforeLines="50" w:after="12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招标文件</w:t>
      </w:r>
    </w:p>
    <w:p w14:paraId="4274E05F">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1</w:t>
      </w:r>
      <w:r>
        <w:rPr>
          <w:rFonts w:hint="eastAsia" w:asciiTheme="majorEastAsia" w:hAnsiTheme="majorEastAsia" w:eastAsiaTheme="majorEastAsia"/>
          <w:b/>
          <w:bCs/>
          <w:szCs w:val="21"/>
        </w:rPr>
        <w:t>．</w:t>
      </w:r>
      <w:bookmarkStart w:id="29" w:name="_Hlk72399819"/>
      <w:r>
        <w:rPr>
          <w:rFonts w:hint="eastAsia" w:asciiTheme="majorEastAsia" w:hAnsiTheme="majorEastAsia" w:eastAsiaTheme="majorEastAsia"/>
          <w:b/>
          <w:bCs/>
          <w:szCs w:val="21"/>
        </w:rPr>
        <w:t>招标文件的编制与组成</w:t>
      </w:r>
    </w:p>
    <w:p w14:paraId="672F24EB">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.1招标文件除以下内容外，采购代理机构在招标期间发出的澄清或修改等相关公告或通知内容，均是招标文件的组成部分，对投标人起约束作用；</w:t>
      </w:r>
    </w:p>
    <w:p w14:paraId="72E3055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招标文件包括下列内容：</w:t>
      </w:r>
    </w:p>
    <w:p w14:paraId="56C59710">
      <w:pPr>
        <w:spacing w:line="360" w:lineRule="auto"/>
        <w:ind w:left="420" w:leftChars="200"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第一册  专用条款</w:t>
      </w:r>
    </w:p>
    <w:p w14:paraId="5E0585E1">
      <w:pPr>
        <w:spacing w:line="360" w:lineRule="auto"/>
        <w:ind w:left="1079" w:leftChars="514"/>
        <w:rPr>
          <w:rFonts w:asciiTheme="majorEastAsia" w:hAnsiTheme="majorEastAsia" w:eastAsiaTheme="majorEastAsia"/>
          <w:b/>
          <w:szCs w:val="21"/>
        </w:rPr>
      </w:pPr>
      <w:r>
        <w:rPr>
          <w:rFonts w:hint="eastAsia" w:asciiTheme="majorEastAsia" w:hAnsiTheme="majorEastAsia" w:eastAsiaTheme="majorEastAsia"/>
          <w:b/>
          <w:szCs w:val="21"/>
        </w:rPr>
        <w:t>关键信息</w:t>
      </w:r>
    </w:p>
    <w:p w14:paraId="2432624A">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招标公告</w:t>
      </w:r>
    </w:p>
    <w:p w14:paraId="4AF41EE0">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对通用条款的补充内容及其他关键信息</w:t>
      </w:r>
    </w:p>
    <w:p w14:paraId="3225D877">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用户需求书</w:t>
      </w:r>
    </w:p>
    <w:p w14:paraId="5A29AFD8">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投标文件格式及附件</w:t>
      </w:r>
    </w:p>
    <w:p w14:paraId="4B235E1B">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合同条款及格式</w:t>
      </w:r>
    </w:p>
    <w:p w14:paraId="7B1A57A0">
      <w:pPr>
        <w:spacing w:line="360" w:lineRule="auto"/>
        <w:ind w:left="420" w:leftChars="200" w:firstLine="413" w:firstLineChars="196"/>
        <w:outlineLvl w:val="0"/>
        <w:rPr>
          <w:rFonts w:asciiTheme="majorEastAsia" w:hAnsiTheme="majorEastAsia" w:eastAsiaTheme="majorEastAsia"/>
          <w:b/>
          <w:szCs w:val="21"/>
        </w:rPr>
      </w:pPr>
      <w:r>
        <w:rPr>
          <w:rFonts w:hint="eastAsia" w:asciiTheme="majorEastAsia" w:hAnsiTheme="majorEastAsia" w:eastAsiaTheme="majorEastAsia"/>
          <w:b/>
          <w:szCs w:val="21"/>
        </w:rPr>
        <w:t>第二册  通用条款</w:t>
      </w:r>
    </w:p>
    <w:p w14:paraId="30F7EBF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总则</w:t>
      </w:r>
    </w:p>
    <w:p w14:paraId="1C0B5CDA">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招标文件</w:t>
      </w:r>
    </w:p>
    <w:p w14:paraId="522E83D6">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投标文件的编制</w:t>
      </w:r>
    </w:p>
    <w:p w14:paraId="4E11D996">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投标文件的递交</w:t>
      </w:r>
    </w:p>
    <w:p w14:paraId="0949672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开标</w:t>
      </w:r>
    </w:p>
    <w:p w14:paraId="188A35FE">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第六章  评审要求</w:t>
      </w:r>
    </w:p>
    <w:p w14:paraId="7612B3CC">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第七章  评审程序及评审方法</w:t>
      </w:r>
    </w:p>
    <w:p w14:paraId="77811626">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第八章  定标及公示</w:t>
      </w:r>
    </w:p>
    <w:p w14:paraId="18B0F057">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第九章  公开招标失败的后续处理</w:t>
      </w:r>
    </w:p>
    <w:p w14:paraId="41EAB63A">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第十章  合同的授予与备案</w:t>
      </w:r>
    </w:p>
    <w:p w14:paraId="58A3F80C">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第十一章  质疑处理</w:t>
      </w:r>
    </w:p>
    <w:p w14:paraId="404D15D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5D96F4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3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169FA388">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2</w:t>
      </w:r>
      <w:r>
        <w:rPr>
          <w:rFonts w:hint="eastAsia" w:asciiTheme="majorEastAsia" w:hAnsiTheme="majorEastAsia" w:eastAsiaTheme="majorEastAsia"/>
          <w:b/>
          <w:bCs/>
          <w:szCs w:val="21"/>
        </w:rPr>
        <w:t>．招标文件的澄清</w:t>
      </w:r>
    </w:p>
    <w:p w14:paraId="111F80F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.1招标文件澄清的目的是澄清、解答投标人在查阅招标文件后或现场踏勘中可能提出的与投标有关的疑问或询问。</w:t>
      </w:r>
    </w:p>
    <w:p w14:paraId="5CB5A66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.2投标人如对招标文件内容有疑问，应当在招标公告规定的澄清（提问）截止时间前以网上提问的形式通过网上政府采购系统提交采购代理机构。</w:t>
      </w:r>
    </w:p>
    <w:p w14:paraId="08D95CD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Theme="majorEastAsia" w:hAnsiTheme="majorEastAsia" w:eastAsiaTheme="majorEastAsia"/>
          <w:szCs w:val="21"/>
        </w:rPr>
        <w:t>3.3</w:t>
      </w:r>
      <w:r>
        <w:rPr>
          <w:rFonts w:hint="eastAsia" w:asciiTheme="majorEastAsia" w:hAnsiTheme="majorEastAsia" w:eastAsiaTheme="majorEastAsia"/>
          <w:szCs w:val="21"/>
        </w:rPr>
        <w:t>、1</w:t>
      </w:r>
      <w:r>
        <w:rPr>
          <w:rFonts w:asciiTheme="majorEastAsia" w:hAnsiTheme="majorEastAsia" w:eastAsiaTheme="majorEastAsia"/>
          <w:szCs w:val="21"/>
        </w:rPr>
        <w:t>3.4</w:t>
      </w:r>
      <w:r>
        <w:rPr>
          <w:rFonts w:hint="eastAsia" w:asciiTheme="majorEastAsia" w:hAnsiTheme="majorEastAsia" w:eastAsiaTheme="majorEastAsia"/>
          <w:szCs w:val="21"/>
        </w:rPr>
        <w:t>款规定执行。</w:t>
      </w:r>
    </w:p>
    <w:p w14:paraId="4DA092F4">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w:t>
      </w:r>
      <w:r>
        <w:rPr>
          <w:rFonts w:hint="eastAsia" w:asciiTheme="majorEastAsia" w:hAnsiTheme="majorEastAsia" w:eastAsiaTheme="majorEastAsia"/>
          <w:b/>
          <w:bCs/>
          <w:szCs w:val="21"/>
        </w:rPr>
        <w:t>3．招标文件的修改</w:t>
      </w:r>
    </w:p>
    <w:p w14:paraId="46B594E6">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3.1招标文件发出后，在投标截止日期前任何时候，确需要变更招标文件内容的，采购代理机构可主动或在解答投标人提出的澄清问题时对招标文件进行修改。</w:t>
      </w:r>
    </w:p>
    <w:p w14:paraId="14DCCF12">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3.2招标文件的修改以书面形式（包括采购代理机构网站发布方式，如更正公告等）发送给所有投标人，招标文件的修改内容作为招标文件的组成部分，并具有约束力。</w:t>
      </w:r>
    </w:p>
    <w:p w14:paraId="3F248D10">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74A63D5B">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29"/>
    </w:p>
    <w:p w14:paraId="44EDEC76">
      <w:pPr>
        <w:pStyle w:val="5"/>
        <w:widowControl/>
        <w:numPr>
          <w:ilvl w:val="0"/>
          <w:numId w:val="7"/>
        </w:numPr>
        <w:spacing w:before="120" w:beforeLines="50" w:after="12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投标文件的编制</w:t>
      </w:r>
    </w:p>
    <w:p w14:paraId="097B698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14．</w:t>
      </w:r>
      <w:bookmarkStart w:id="30" w:name="_Hlk72400236"/>
      <w:r>
        <w:rPr>
          <w:rFonts w:hint="eastAsia" w:asciiTheme="majorEastAsia" w:hAnsiTheme="majorEastAsia" w:eastAsiaTheme="majorEastAsia"/>
          <w:b/>
          <w:bCs/>
          <w:szCs w:val="21"/>
        </w:rPr>
        <w:t>投标文件的语言及度量单位</w:t>
      </w:r>
    </w:p>
    <w:p w14:paraId="6452B9A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F7DD05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14.2 除技术规范另有规定外，投标文件使用的度量单位，均采用中华人民共和国法定计量单位。</w:t>
      </w:r>
    </w:p>
    <w:bookmarkEnd w:id="30"/>
    <w:p w14:paraId="6BBCD05E">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15．</w:t>
      </w:r>
      <w:bookmarkStart w:id="31" w:name="_Hlk72401567"/>
      <w:r>
        <w:rPr>
          <w:rFonts w:hint="eastAsia" w:asciiTheme="majorEastAsia" w:hAnsiTheme="majorEastAsia" w:eastAsiaTheme="majorEastAsia"/>
          <w:b/>
          <w:bCs/>
          <w:szCs w:val="21"/>
        </w:rPr>
        <w:t>投标文件的组成</w:t>
      </w:r>
    </w:p>
    <w:p w14:paraId="741B9DB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具体内容在招标文件专用条款中进行规定。</w:t>
      </w:r>
    </w:p>
    <w:p w14:paraId="54D30479">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16．投标文件格式</w:t>
      </w:r>
    </w:p>
    <w:p w14:paraId="406CF25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投标文件包括本通用条款第</w:t>
      </w:r>
      <w:r>
        <w:rPr>
          <w:rFonts w:asciiTheme="majorEastAsia" w:hAnsiTheme="majorEastAsia" w:eastAsiaTheme="majorEastAsia"/>
          <w:szCs w:val="21"/>
        </w:rPr>
        <w:t>15条中规定的内容。如招标文件提供了投标文件格式，则</w:t>
      </w:r>
      <w:r>
        <w:rPr>
          <w:rFonts w:hint="eastAsia" w:asciiTheme="majorEastAsia" w:hAnsiTheme="majorEastAsia" w:eastAsiaTheme="majorEastAsia"/>
          <w:b/>
          <w:bCs/>
          <w:szCs w:val="21"/>
        </w:rPr>
        <w:t>投标人提交的投标文件应使用招标文件所提供的相应格式</w:t>
      </w:r>
      <w:r>
        <w:rPr>
          <w:rFonts w:hint="eastAsia" w:asciiTheme="majorEastAsia" w:hAnsiTheme="majorEastAsia" w:eastAsiaTheme="majorEastAsia"/>
          <w:szCs w:val="21"/>
        </w:rPr>
        <w:t>（表格均可按同样格式扩展）。</w:t>
      </w:r>
    </w:p>
    <w:p w14:paraId="1F2D0AD9">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17．投标货币</w:t>
      </w:r>
    </w:p>
    <w:p w14:paraId="00273F9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本项目的投标报价应以人民币计。</w:t>
      </w:r>
    </w:p>
    <w:bookmarkEnd w:id="31"/>
    <w:p w14:paraId="47B90B0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18．</w:t>
      </w:r>
      <w:bookmarkStart w:id="32" w:name="_Hlk72401735"/>
      <w:r>
        <w:rPr>
          <w:rFonts w:hint="eastAsia" w:asciiTheme="majorEastAsia" w:hAnsiTheme="majorEastAsia" w:eastAsiaTheme="majorEastAsia"/>
          <w:b/>
          <w:bCs/>
          <w:szCs w:val="21"/>
        </w:rPr>
        <w:t>证明投标文件投标技术方案的合格性和符合招标文件规定的文件要求</w:t>
      </w:r>
    </w:p>
    <w:p w14:paraId="7936BE0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w:t>
      </w:r>
      <w:r>
        <w:rPr>
          <w:rFonts w:asciiTheme="majorEastAsia" w:hAnsiTheme="majorEastAsia" w:eastAsiaTheme="majorEastAsia"/>
          <w:szCs w:val="21"/>
        </w:rPr>
        <w:t xml:space="preserve">.1 </w:t>
      </w:r>
      <w:r>
        <w:rPr>
          <w:rFonts w:hint="eastAsia" w:asciiTheme="majorEastAsia" w:hAnsiTheme="majorEastAsia" w:eastAsiaTheme="majorEastAsia"/>
          <w:szCs w:val="21"/>
        </w:rPr>
        <w:t>投标人应提交证明文件，证明其投标技术方案项下的货物和服务的合格性符合招标文件规定。该投标技术方案及其证明文件均作为投标文件组成部分。</w:t>
      </w:r>
    </w:p>
    <w:p w14:paraId="3D001D07">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 xml:space="preserve">.2 </w:t>
      </w:r>
      <w:r>
        <w:rPr>
          <w:rFonts w:hint="eastAsia" w:asciiTheme="majorEastAsia" w:hAnsiTheme="majorEastAsia" w:eastAsiaTheme="major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F0576A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18.2.1主要技术指标和性能的详细说明。</w:t>
      </w:r>
    </w:p>
    <w:p w14:paraId="54A749A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2</w:t>
      </w:r>
      <w:r>
        <w:rPr>
          <w:rFonts w:hint="eastAsia" w:asciiTheme="majorEastAsia" w:hAnsiTheme="majorEastAsia" w:eastAsiaTheme="majorEastAsia"/>
          <w:szCs w:val="21"/>
        </w:rPr>
        <w:t>投标产品从采购人开始使用至招标文件中规定的周期内正常、连续地使用所必须的备件和专用工具清单，包括备件和专用工具的货源及现行价格。</w:t>
      </w:r>
    </w:p>
    <w:p w14:paraId="22501AB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3</w:t>
      </w:r>
      <w:r>
        <w:rPr>
          <w:rFonts w:hint="eastAsia" w:asciiTheme="majorEastAsia" w:hAnsiTheme="majorEastAsia" w:eastAsiaTheme="major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792836B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2854E6F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6B9B90E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18.3相关资料不符合18.2款要求的，评审委员会有权认定为投标技术方案不合格响应，其相关分数予以扣减或作投标无效处理。</w:t>
      </w:r>
    </w:p>
    <w:p w14:paraId="5814240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1435201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18.5除非另有规定或说明，投标人对同一项目投标时，不得同时提供两套或两套以上的投标方案。</w:t>
      </w:r>
    </w:p>
    <w:bookmarkEnd w:id="32"/>
    <w:p w14:paraId="103FAA8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19．</w:t>
      </w:r>
      <w:bookmarkStart w:id="33" w:name="_Hlk72402034"/>
      <w:r>
        <w:rPr>
          <w:rFonts w:hint="eastAsia" w:asciiTheme="majorEastAsia" w:hAnsiTheme="majorEastAsia" w:eastAsiaTheme="majorEastAsia"/>
          <w:b/>
          <w:bCs/>
          <w:szCs w:val="21"/>
        </w:rPr>
        <w:t>投标文件其他证明文件的要求</w:t>
      </w:r>
    </w:p>
    <w:p w14:paraId="44D3DB4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34" w:name="_Hlk71407299"/>
    </w:p>
    <w:bookmarkEnd w:id="34"/>
    <w:p w14:paraId="481D852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552062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20．投标有效期</w:t>
      </w:r>
    </w:p>
    <w:bookmarkEnd w:id="33"/>
    <w:p w14:paraId="61B69327">
      <w:pPr>
        <w:spacing w:line="360" w:lineRule="auto"/>
        <w:ind w:firstLine="411" w:firstLineChars="196"/>
        <w:rPr>
          <w:rFonts w:asciiTheme="majorEastAsia" w:hAnsiTheme="majorEastAsia" w:eastAsiaTheme="majorEastAsia"/>
          <w:szCs w:val="21"/>
        </w:rPr>
      </w:pPr>
      <w:bookmarkStart w:id="35" w:name="_Hlk72402214"/>
      <w:r>
        <w:rPr>
          <w:rFonts w:hint="eastAsia" w:asciiTheme="majorEastAsia" w:hAnsiTheme="majorEastAsia" w:eastAsiaTheme="majorEastAsia"/>
          <w:szCs w:val="21"/>
        </w:rPr>
        <w:t>20.1 投标有效期为</w:t>
      </w:r>
      <w:r>
        <w:rPr>
          <w:rFonts w:hint="eastAsia" w:cs="Arial" w:asciiTheme="majorEastAsia" w:hAnsiTheme="majorEastAsia" w:eastAsiaTheme="majorEastAsia"/>
          <w:szCs w:val="21"/>
        </w:rPr>
        <w:t>从投标截止之日算起的日历天数。</w:t>
      </w:r>
      <w:r>
        <w:rPr>
          <w:rFonts w:hint="eastAsia" w:asciiTheme="majorEastAsia" w:hAnsiTheme="majorEastAsia" w:eastAsiaTheme="majorEastAsia"/>
          <w:szCs w:val="21"/>
        </w:rPr>
        <w:t>在此期限内，所有投标文件均保持有效。</w:t>
      </w:r>
    </w:p>
    <w:p w14:paraId="3F1CA71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20.2 在特殊情况下，采购代理机构在原定的投标有效期满之前，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4A37B29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w:t>
      </w:r>
      <w:r>
        <w:rPr>
          <w:rFonts w:asciiTheme="majorEastAsia" w:hAnsiTheme="majorEastAsia" w:eastAsiaTheme="majorEastAsia"/>
          <w:szCs w:val="21"/>
        </w:rPr>
        <w:t>.3</w:t>
      </w:r>
      <w:r>
        <w:rPr>
          <w:rFonts w:hint="eastAsia" w:asciiTheme="majorEastAsia" w:hAnsiTheme="majorEastAsia" w:eastAsiaTheme="majorEastAsia"/>
          <w:szCs w:val="21"/>
        </w:rPr>
        <w:t xml:space="preserve"> 中标供应商的投标文件有效期，截止于完成本招标文件规定的全部项目内容，并通过竣工验收及保修期结束。</w:t>
      </w:r>
    </w:p>
    <w:bookmarkEnd w:id="35"/>
    <w:p w14:paraId="107B32E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21．</w:t>
      </w:r>
      <w:bookmarkStart w:id="36" w:name="_Hlk72402325"/>
      <w:r>
        <w:rPr>
          <w:rFonts w:hint="eastAsia" w:asciiTheme="majorEastAsia" w:hAnsiTheme="majorEastAsia" w:eastAsiaTheme="majorEastAsia"/>
          <w:szCs w:val="21"/>
        </w:rPr>
        <w:t xml:space="preserve">关于投标保证金 </w:t>
      </w:r>
    </w:p>
    <w:p w14:paraId="57D4BDF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21.1 根据《</w:t>
      </w:r>
      <w:r>
        <w:rPr>
          <w:rFonts w:asciiTheme="majorEastAsia" w:hAnsiTheme="majorEastAsia" w:eastAsiaTheme="majorEastAsia"/>
          <w:szCs w:val="21"/>
        </w:rPr>
        <w:t>深圳市财政局关于明确政府采购保证金管理工作的通知</w:t>
      </w:r>
      <w:r>
        <w:rPr>
          <w:rFonts w:hint="eastAsia" w:asciiTheme="majorEastAsia" w:hAnsiTheme="majorEastAsia" w:eastAsiaTheme="majorEastAsia"/>
          <w:szCs w:val="21"/>
        </w:rPr>
        <w:t>》（深财购[</w:t>
      </w:r>
      <w:r>
        <w:rPr>
          <w:rFonts w:asciiTheme="majorEastAsia" w:hAnsiTheme="majorEastAsia" w:eastAsiaTheme="majorEastAsia"/>
          <w:szCs w:val="21"/>
        </w:rPr>
        <w:t>2019]42</w:t>
      </w:r>
      <w:r>
        <w:rPr>
          <w:rFonts w:hint="eastAsia" w:asciiTheme="majorEastAsia" w:hAnsiTheme="majorEastAsia" w:eastAsiaTheme="majorEastAsia"/>
          <w:szCs w:val="21"/>
        </w:rPr>
        <w:t>号）文的规定，本项目不收取投标保证金。</w:t>
      </w:r>
    </w:p>
    <w:p w14:paraId="7D6C641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22．投标人的替代方案</w:t>
      </w:r>
    </w:p>
    <w:p w14:paraId="2F074E1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B55809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36"/>
    <w:p w14:paraId="4A99B97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23．</w:t>
      </w:r>
      <w:bookmarkStart w:id="37" w:name="_Hlk72402860"/>
      <w:r>
        <w:rPr>
          <w:rFonts w:asciiTheme="majorEastAsia" w:hAnsiTheme="majorEastAsia" w:eastAsiaTheme="majorEastAsia"/>
          <w:b/>
          <w:bCs/>
          <w:szCs w:val="21"/>
        </w:rPr>
        <w:t>投标文件的</w:t>
      </w:r>
      <w:r>
        <w:rPr>
          <w:rFonts w:hint="eastAsia" w:asciiTheme="majorEastAsia" w:hAnsiTheme="majorEastAsia" w:eastAsiaTheme="majorEastAsia"/>
          <w:b/>
          <w:bCs/>
          <w:szCs w:val="21"/>
        </w:rPr>
        <w:t>制作</w:t>
      </w:r>
      <w:r>
        <w:rPr>
          <w:rFonts w:asciiTheme="majorEastAsia" w:hAnsiTheme="majorEastAsia" w:eastAsiaTheme="majorEastAsia"/>
          <w:b/>
          <w:bCs/>
          <w:szCs w:val="21"/>
        </w:rPr>
        <w:t>要求</w:t>
      </w:r>
    </w:p>
    <w:p w14:paraId="3CD1C09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23.1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w:t>
      </w:r>
    </w:p>
    <w:p w14:paraId="56E2D22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23.2投标人在使用《投标文件制作软件》编制投标书时须注意：</w:t>
      </w:r>
    </w:p>
    <w:p w14:paraId="2439CD9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23.2.1导入《投标文件制作软件》的招标文件项目编号、包号应与以此制作的投标文件项目编号、包号一致。例如，不能将甲项目A包的招标书导入《投标文件制作软件》，制作乙项目B包的投标书。</w:t>
      </w:r>
    </w:p>
    <w:p w14:paraId="176C0A1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23.2.2不能用非本公司的电子密钥加密本公司的投标文件，或者用其它公司的登录用户上传本公司的投标文件。</w:t>
      </w:r>
    </w:p>
    <w:p w14:paraId="2DB254B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23.2.3要求用《投标文件制作软件》编制投标书的包，不能用其它方式编制投标书。编制投标文件时，电脑须连通互联网。</w:t>
      </w:r>
    </w:p>
    <w:p w14:paraId="7E4479D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23.2.4投标文件不能带病毒。采购代理机构将用专业杀毒软件对投标文件进行病毒检测，如果这两种软件均报告发现病毒，则采购代理机构认为该投标文件带病毒。</w:t>
      </w:r>
    </w:p>
    <w:p w14:paraId="0960BD0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23.2.5完整填写“投标关键信息”，如下图所示：</w:t>
      </w:r>
    </w:p>
    <w:p w14:paraId="30F439DD">
      <w:pPr>
        <w:tabs>
          <w:tab w:val="left" w:pos="0"/>
        </w:tabs>
        <w:spacing w:line="360" w:lineRule="auto"/>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4"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图形用户界面, 应用程序&#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31B03C31">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备注：上述“开标一览表”中的“投标总价”将作为价格分计算依据；其它信息仅是对投标文件相关内容的概括性表述，不作为评审依据。</w:t>
      </w:r>
    </w:p>
    <w:p w14:paraId="11F4884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23.2.6投标人在编辑投标文件时，</w:t>
      </w:r>
      <w:r>
        <w:rPr>
          <w:rFonts w:hint="eastAsia" w:asciiTheme="majorEastAsia" w:hAnsiTheme="majorEastAsia" w:eastAsiaTheme="majorEastAsia"/>
          <w:b/>
          <w:szCs w:val="21"/>
        </w:rPr>
        <w:t>在投标文件目录中属于本节点内容的必须在本节点中填写，填写到其他节点或附件，</w:t>
      </w:r>
      <w:r>
        <w:rPr>
          <w:rFonts w:hint="eastAsia" w:asciiTheme="majorEastAsia" w:hAnsiTheme="majorEastAsia" w:eastAsiaTheme="majorEastAsia"/>
          <w:szCs w:val="21"/>
        </w:rPr>
        <w:t>一切后果由供应商自行承担。</w:t>
      </w:r>
    </w:p>
    <w:p w14:paraId="30F22B3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23.2.7投标文件编写完成后，</w:t>
      </w:r>
      <w:r>
        <w:rPr>
          <w:rFonts w:hint="eastAsia" w:asciiTheme="majorEastAsia" w:hAnsiTheme="majorEastAsia" w:eastAsiaTheme="majorEastAsia"/>
          <w:b/>
          <w:szCs w:val="21"/>
        </w:rPr>
        <w:t>必须用属于投标人的电子密钥进行加密，否则视同未盖公章，将导致投标文件无效。</w:t>
      </w:r>
    </w:p>
    <w:p w14:paraId="277216F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14:paraId="3089E91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23.2.9如果开标时出现网络故障、技术故障，影响了政府采购活动，采购代理机构有权采取措施如延期、接受无法从网上上传的投标书等，以保障政府采购活动的公开、公平和公正。</w:t>
      </w:r>
    </w:p>
    <w:p w14:paraId="110C420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23.3电报、电话、传真形式的投标概不接受。</w:t>
      </w:r>
    </w:p>
    <w:p w14:paraId="7E30AB23">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23.4经投标人电子密钥加密的投标文件无须盖章或签字，</w:t>
      </w:r>
      <w:r>
        <w:rPr>
          <w:rFonts w:hint="eastAsia" w:asciiTheme="majorEastAsia" w:hAnsiTheme="majorEastAsia" w:eastAsiaTheme="majorEastAsia"/>
          <w:szCs w:val="21"/>
        </w:rPr>
        <w:t>专用条款另有要求的除外。</w:t>
      </w:r>
    </w:p>
    <w:p w14:paraId="571DEE15">
      <w:pPr>
        <w:spacing w:line="360" w:lineRule="auto"/>
        <w:ind w:firstLine="413" w:firstLineChars="196"/>
        <w:rPr>
          <w:rFonts w:asciiTheme="majorEastAsia" w:hAnsiTheme="majorEastAsia" w:eastAsiaTheme="majorEastAsia"/>
          <w:szCs w:val="21"/>
        </w:rPr>
      </w:pPr>
      <w:r>
        <w:rPr>
          <w:rFonts w:hint="eastAsia" w:asciiTheme="majorEastAsia" w:hAnsiTheme="majorEastAsia" w:eastAsiaTheme="majorEastAsia"/>
          <w:b/>
          <w:szCs w:val="21"/>
        </w:rPr>
        <w:t>23.5</w:t>
      </w:r>
      <w:r>
        <w:rPr>
          <w:rFonts w:hint="eastAsia" w:asciiTheme="majorEastAsia" w:hAnsiTheme="majorEastAsia" w:eastAsiaTheme="majorEastAsia"/>
          <w:szCs w:val="21"/>
        </w:rPr>
        <w:t xml:space="preserve"> 各类资格（资质）文件提供扫描件，专用条款另有要求的除外。</w:t>
      </w:r>
      <w:bookmarkEnd w:id="37"/>
    </w:p>
    <w:p w14:paraId="258332DB">
      <w:pPr>
        <w:pStyle w:val="5"/>
        <w:widowControl/>
        <w:numPr>
          <w:ilvl w:val="0"/>
          <w:numId w:val="7"/>
        </w:numPr>
        <w:spacing w:before="120" w:beforeLines="50" w:after="12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投标文件的递交</w:t>
      </w:r>
      <w:bookmarkStart w:id="38" w:name="_Hlk72405459"/>
    </w:p>
    <w:p w14:paraId="7F63257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24．投标书的保密</w:t>
      </w:r>
    </w:p>
    <w:p w14:paraId="2659EF5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14:paraId="380B088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5"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图形用户界面, 应用程序&#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234A2EE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在投标文件制作软件点击【生成标书】按钮进入【填写开标一览表界面】界面，在该界面填写完开标一览表信息后点击【确定】，进入投标文件生成环节。</w:t>
      </w:r>
      <w:r>
        <w:rPr>
          <w:rFonts w:asciiTheme="majorEastAsia" w:hAnsiTheme="majorEastAsia" w:eastAsiaTheme="majorEastAsia"/>
          <w:szCs w:val="21"/>
        </w:rPr>
        <w:drawing>
          <wp:inline distT="0" distB="0" distL="0" distR="0">
            <wp:extent cx="5278755" cy="2732405"/>
            <wp:effectExtent l="0" t="0" r="0" b="0"/>
            <wp:docPr id="7"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图形用户界面&#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14:paraId="05CA9D6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投标文件制作软件会在投标文件生成过程中，提示用户输入密码，输入密码后对标文件自动进行加密。</w:t>
      </w:r>
    </w:p>
    <w:p w14:paraId="098D9327">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24.2若采购项目出现延期情况：</w:t>
      </w:r>
    </w:p>
    <w:p w14:paraId="42BF2431">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）有更新，投标人必须重新下载招标文件、重新制作投标文件、重新加密投标文件、重新上传投标文件；如果供下载的招标文件（后缀名为.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）没有更新，投标人必须重新加密投标文件、重新上传投标文件（是否重新制作投标文件根据项目实际情况定）。否则，投标人自行承担投标文件无法解密导致投标无效的后果。</w:t>
      </w:r>
    </w:p>
    <w:p w14:paraId="443F838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25．上传投标文件及投标截止日期</w:t>
      </w:r>
    </w:p>
    <w:p w14:paraId="3A7E8FD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1实行网上投标，</w:t>
      </w:r>
      <w:r>
        <w:rPr>
          <w:rFonts w:asciiTheme="majorEastAsia" w:hAnsiTheme="majorEastAsia" w:eastAsiaTheme="majorEastAsia"/>
          <w:szCs w:val="21"/>
        </w:rPr>
        <w:t>投标人必须</w:t>
      </w:r>
      <w:r>
        <w:rPr>
          <w:rFonts w:hint="eastAsia" w:asciiTheme="majorEastAsia" w:hAnsiTheme="majorEastAsia" w:eastAsiaTheme="majorEastAsia"/>
          <w:szCs w:val="21"/>
        </w:rPr>
        <w:t>在招标</w:t>
      </w:r>
      <w:r>
        <w:rPr>
          <w:rFonts w:asciiTheme="majorEastAsia" w:hAnsiTheme="majorEastAsia" w:eastAsiaTheme="majorEastAsia"/>
          <w:szCs w:val="21"/>
        </w:rPr>
        <w:t>文件规定的投标截止时间前</w:t>
      </w:r>
      <w:r>
        <w:rPr>
          <w:rFonts w:hint="eastAsia" w:asciiTheme="majorEastAsia" w:hAnsiTheme="majorEastAsia" w:eastAsiaTheme="majorEastAsia"/>
          <w:szCs w:val="21"/>
        </w:rPr>
        <w:t>用电子密钥登录“深圳政府采购智慧平台用户网上办事子系统（http://zfcg.szggzy.com/TPBidder/memberLogin）”，用“【我的项目】→【项目流程】→【递交投标(应答)文件】”功能点上传投标文件。</w:t>
      </w:r>
    </w:p>
    <w:p w14:paraId="2E7A826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6C6CFF1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3投标截止时间以后不得上传投标文件。</w:t>
      </w:r>
    </w:p>
    <w:p w14:paraId="1E3AD11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bookmarkEnd w:id="38"/>
    <w:p w14:paraId="4C82257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26. 样品、现场演示、方案讲解</w:t>
      </w:r>
    </w:p>
    <w:p w14:paraId="414B3BC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26.1 样品、现场演示、方案讲解等事项在招标文件专用条款中进行规定。</w:t>
      </w:r>
    </w:p>
    <w:p w14:paraId="102F7475">
      <w:pPr>
        <w:spacing w:line="360" w:lineRule="auto"/>
        <w:rPr>
          <w:rFonts w:asciiTheme="majorEastAsia" w:hAnsiTheme="majorEastAsia" w:eastAsiaTheme="majorEastAsia"/>
          <w:b/>
          <w:bCs/>
          <w:szCs w:val="21"/>
        </w:rPr>
      </w:pPr>
      <w:bookmarkStart w:id="39" w:name="_Hlk72428346"/>
      <w:r>
        <w:rPr>
          <w:rFonts w:asciiTheme="majorEastAsia" w:hAnsiTheme="majorEastAsia" w:eastAsiaTheme="majorEastAsia"/>
          <w:b/>
          <w:bCs/>
          <w:szCs w:val="21"/>
        </w:rPr>
        <w:t>2</w:t>
      </w:r>
      <w:r>
        <w:rPr>
          <w:rFonts w:hint="eastAsia" w:asciiTheme="majorEastAsia" w:hAnsiTheme="majorEastAsia" w:eastAsiaTheme="majorEastAsia"/>
          <w:b/>
          <w:bCs/>
          <w:szCs w:val="21"/>
        </w:rPr>
        <w:t>7．</w:t>
      </w:r>
      <w:r>
        <w:rPr>
          <w:rFonts w:asciiTheme="majorEastAsia" w:hAnsiTheme="majorEastAsia" w:eastAsiaTheme="majorEastAsia"/>
          <w:b/>
          <w:bCs/>
          <w:szCs w:val="21"/>
        </w:rPr>
        <w:t>投标文件的修改和撤销</w:t>
      </w:r>
    </w:p>
    <w:p w14:paraId="60434DE8">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1</w:t>
      </w:r>
      <w:r>
        <w:rPr>
          <w:rFonts w:asciiTheme="majorEastAsia" w:hAnsiTheme="majorEastAsia" w:eastAsiaTheme="majorEastAsia"/>
          <w:szCs w:val="21"/>
        </w:rPr>
        <w:t>投标方在提交投标文件后可对其投标文件进行修改</w:t>
      </w:r>
      <w:r>
        <w:rPr>
          <w:rFonts w:hint="eastAsia" w:asciiTheme="majorEastAsia" w:hAnsiTheme="majorEastAsia" w:eastAsiaTheme="majorEastAsia"/>
          <w:szCs w:val="21"/>
        </w:rPr>
        <w:t>并重新上传投标文件</w:t>
      </w:r>
      <w:r>
        <w:rPr>
          <w:rFonts w:asciiTheme="majorEastAsia" w:hAnsiTheme="majorEastAsia" w:eastAsiaTheme="majorEastAsia"/>
          <w:szCs w:val="21"/>
        </w:rPr>
        <w:t>或</w:t>
      </w:r>
      <w:r>
        <w:rPr>
          <w:rFonts w:hint="eastAsia" w:asciiTheme="majorEastAsia" w:hAnsiTheme="majorEastAsia" w:eastAsiaTheme="majorEastAsia"/>
          <w:szCs w:val="21"/>
        </w:rPr>
        <w:t>在网上进行</w:t>
      </w:r>
      <w:r>
        <w:rPr>
          <w:rFonts w:asciiTheme="majorEastAsia" w:hAnsiTheme="majorEastAsia" w:eastAsiaTheme="majorEastAsia"/>
          <w:szCs w:val="21"/>
        </w:rPr>
        <w:t>撤销</w:t>
      </w:r>
      <w:r>
        <w:rPr>
          <w:rFonts w:hint="eastAsia" w:asciiTheme="majorEastAsia" w:hAnsiTheme="majorEastAsia" w:eastAsiaTheme="majorEastAsia"/>
          <w:szCs w:val="21"/>
        </w:rPr>
        <w:t>投标的操作</w:t>
      </w:r>
      <w:r>
        <w:rPr>
          <w:rFonts w:asciiTheme="majorEastAsia" w:hAnsiTheme="majorEastAsia" w:eastAsiaTheme="majorEastAsia"/>
          <w:szCs w:val="21"/>
        </w:rPr>
        <w:t>。</w:t>
      </w:r>
    </w:p>
    <w:p w14:paraId="48664358">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投标截止时间以后不得修改投标文件。</w:t>
      </w:r>
    </w:p>
    <w:p w14:paraId="4B7608E7">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3从投标截止期至投标人在投标文件中确定的投标有效期之间的这段时间内，投标人不得撤回其投标。</w:t>
      </w:r>
    </w:p>
    <w:p w14:paraId="21792D7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27.4采购代理机构不退还投标文件，专用条款另有规定的除外。</w:t>
      </w:r>
    </w:p>
    <w:bookmarkEnd w:id="39"/>
    <w:p w14:paraId="1A516F12">
      <w:pPr>
        <w:pStyle w:val="5"/>
        <w:widowControl/>
        <w:numPr>
          <w:ilvl w:val="0"/>
          <w:numId w:val="7"/>
        </w:numPr>
        <w:spacing w:before="120" w:beforeLines="50" w:after="12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开标</w:t>
      </w:r>
    </w:p>
    <w:p w14:paraId="697EC85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28．开标</w:t>
      </w:r>
    </w:p>
    <w:p w14:paraId="6B5C7A58">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1投标人须在开标当日的开标时间至解密截止时间内进行解密，逾期未解密的作无效处理。解密方法：登录“深圳政府采购智慧平台用户网上办事子系统（</w:t>
      </w:r>
      <w:r>
        <w:rPr>
          <w:rFonts w:asciiTheme="majorEastAsia" w:hAnsiTheme="majorEastAsia" w:eastAsiaTheme="majorEastAsia"/>
          <w:szCs w:val="21"/>
        </w:rPr>
        <w:t>http://zfcg.szggzy.com/</w:t>
      </w:r>
      <w:r>
        <w:rPr>
          <w:rFonts w:hint="eastAsia" w:asciiTheme="majorEastAsia" w:hAnsiTheme="majorEastAsia" w:eastAsiaTheme="majorEastAsia"/>
          <w:szCs w:val="21"/>
        </w:rPr>
        <w:t>TPBidder/memberLogin）”，使用本单位制作电子投标文件同一个电子密钥，在“【我的项目】→【项目流程】→【开标及解密】”进行在线解密、查询开标情况。</w:t>
      </w:r>
    </w:p>
    <w:p w14:paraId="6BEB2027">
      <w:pPr>
        <w:spacing w:line="360" w:lineRule="auto"/>
        <w:ind w:firstLine="359" w:firstLineChars="171"/>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 xml:space="preserve">8.2 </w:t>
      </w:r>
      <w:r>
        <w:rPr>
          <w:rFonts w:hint="eastAsia" w:asciiTheme="majorEastAsia" w:hAnsiTheme="majorEastAsia" w:eastAsiaTheme="majorEastAsia"/>
          <w:szCs w:val="21"/>
        </w:rPr>
        <w:t>采购代理机构将在满足开标条件（</w:t>
      </w:r>
      <w:r>
        <w:rPr>
          <w:rFonts w:hint="eastAsia" w:cs="宋体" w:asciiTheme="majorEastAsia" w:hAnsiTheme="majorEastAsia" w:eastAsiaTheme="majorEastAsia"/>
          <w:color w:val="333333"/>
          <w:szCs w:val="21"/>
          <w:shd w:val="clear" w:color="auto" w:fill="FFFFFF"/>
        </w:rPr>
        <w:t>①</w:t>
      </w:r>
      <w:r>
        <w:rPr>
          <w:rFonts w:hint="eastAsia" w:asciiTheme="majorEastAsia" w:hAnsiTheme="majorEastAsia" w:eastAsiaTheme="majorEastAsia"/>
          <w:szCs w:val="21"/>
        </w:rPr>
        <w:t>解密时间结束，解密后的投标供应商数量满足开标要求或</w:t>
      </w:r>
      <w:r>
        <w:rPr>
          <w:rFonts w:hint="eastAsia" w:cs="宋体" w:asciiTheme="majorEastAsia" w:hAnsiTheme="majorEastAsia" w:eastAsiaTheme="majorEastAsia"/>
          <w:color w:val="333333"/>
          <w:szCs w:val="21"/>
          <w:shd w:val="clear" w:color="auto" w:fill="FFFFFF"/>
        </w:rPr>
        <w:t>②</w:t>
      </w:r>
      <w:r>
        <w:rPr>
          <w:rFonts w:hint="eastAsia" w:asciiTheme="majorEastAsia" w:hAnsiTheme="majorEastAsia" w:eastAsiaTheme="majorEastAsia"/>
          <w:szCs w:val="21"/>
        </w:rPr>
        <w:t>解密时间结束前所有投标供应商均完成投标文件解密）后，对投标文件进行开标，并在网上公布开标结果。</w:t>
      </w:r>
    </w:p>
    <w:p w14:paraId="71439F2E">
      <w:pPr>
        <w:pStyle w:val="5"/>
        <w:widowControl/>
        <w:numPr>
          <w:ilvl w:val="0"/>
          <w:numId w:val="7"/>
        </w:numPr>
        <w:spacing w:before="120" w:beforeLines="50" w:after="12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评审要求</w:t>
      </w:r>
    </w:p>
    <w:p w14:paraId="365ABCF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29．评审委员会组成</w:t>
      </w:r>
    </w:p>
    <w:p w14:paraId="575910D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29.1网上开标结束后召开评审会议，评审委员会由采购代理机构依法组建，负责评审活动。</w:t>
      </w:r>
    </w:p>
    <w:p w14:paraId="33AA9576">
      <w:pPr>
        <w:spacing w:line="360" w:lineRule="auto"/>
        <w:ind w:firstLine="411" w:firstLineChars="196"/>
        <w:rPr>
          <w:rFonts w:asciiTheme="majorEastAsia" w:hAnsiTheme="majorEastAsia" w:eastAsiaTheme="majorEastAsia"/>
          <w:szCs w:val="21"/>
        </w:rPr>
      </w:pPr>
      <w:bookmarkStart w:id="40" w:name="_Hlk72436580"/>
      <w:r>
        <w:rPr>
          <w:rFonts w:hint="eastAsia" w:asciiTheme="majorEastAsia" w:hAnsiTheme="majorEastAsia" w:eastAsiaTheme="majorEastAsia"/>
          <w:szCs w:val="21"/>
        </w:rPr>
        <w:t>评审委员会由采购人代表和评审专家组成，成员人数应当为5人以上单数（部分条件下为7人以上单数），其中评审专家不得少于成员总数的三分之二。</w:t>
      </w:r>
      <w:bookmarkEnd w:id="40"/>
      <w:r>
        <w:rPr>
          <w:rFonts w:hint="eastAsia" w:asciiTheme="majorEastAsia" w:hAnsiTheme="majorEastAsia" w:eastAsiaTheme="majorEastAsia"/>
          <w:szCs w:val="21"/>
        </w:rPr>
        <w:t>评定分离项目</w:t>
      </w:r>
      <w:r>
        <w:rPr>
          <w:rFonts w:asciiTheme="majorEastAsia" w:hAnsiTheme="majorEastAsia" w:eastAsiaTheme="majorEastAsia"/>
          <w:szCs w:val="21"/>
        </w:rPr>
        <w:t>评审专家</w:t>
      </w:r>
      <w:r>
        <w:rPr>
          <w:rFonts w:hint="eastAsia" w:asciiTheme="majorEastAsia" w:hAnsiTheme="majorEastAsia" w:eastAsiaTheme="majorEastAsia"/>
          <w:szCs w:val="21"/>
        </w:rPr>
        <w:t>均</w:t>
      </w:r>
      <w:r>
        <w:rPr>
          <w:rFonts w:asciiTheme="majorEastAsia" w:hAnsiTheme="majorEastAsia" w:eastAsiaTheme="majorEastAsia"/>
          <w:szCs w:val="21"/>
        </w:rPr>
        <w:t>由</w:t>
      </w:r>
      <w:r>
        <w:rPr>
          <w:rFonts w:hint="eastAsia" w:asciiTheme="majorEastAsia" w:hAnsiTheme="majorEastAsia" w:eastAsiaTheme="majorEastAsia"/>
          <w:szCs w:val="21"/>
        </w:rPr>
        <w:t>评审专家组成。评审专家一般是从深圳市政府采购评审专家库中随机抽取。采购人代表须持本单位签发的《评审授权书》参加评审。</w:t>
      </w:r>
    </w:p>
    <w:p w14:paraId="388757B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29.2评审定标应当遵循公平、公正、科学、择优的原则。</w:t>
      </w:r>
    </w:p>
    <w:p w14:paraId="1E7276F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29.3评审活动依法进行，任何单位和个人不得非法干预评标过程和结果。</w:t>
      </w:r>
    </w:p>
    <w:p w14:paraId="71501FC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29.4评审过程中不允许违背评标程序或采用招标文件未载明的评标方法或评标因素进行评标。</w:t>
      </w:r>
    </w:p>
    <w:p w14:paraId="4CB87B86">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29.5 开标后，直到签订合同为止，凡属于对投标文件的审查、澄清、评价和比较的有关资料以及中标候选人的推荐情况、与评审有关的其他任何情况均严格保密（</w:t>
      </w:r>
      <w:r>
        <w:rPr>
          <w:rFonts w:hint="eastAsia" w:asciiTheme="majorEastAsia" w:hAnsiTheme="majorEastAsia" w:eastAsiaTheme="majorEastAsia"/>
          <w:szCs w:val="21"/>
        </w:rPr>
        <w:t>信息公开的内容除外</w:t>
      </w:r>
      <w:r>
        <w:rPr>
          <w:rFonts w:hint="eastAsia" w:asciiTheme="majorEastAsia" w:hAnsiTheme="majorEastAsia" w:eastAsiaTheme="majorEastAsia"/>
          <w:bCs/>
          <w:szCs w:val="21"/>
        </w:rPr>
        <w:t>）。</w:t>
      </w:r>
    </w:p>
    <w:p w14:paraId="1E843AA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30．向评审委员会提供的资料</w:t>
      </w:r>
    </w:p>
    <w:p w14:paraId="688987D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30.1公开发布的招标文件，包括图纸、服务清单、答疑文件等；</w:t>
      </w:r>
    </w:p>
    <w:p w14:paraId="7AEE392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30.2其他评标必须的资料。</w:t>
      </w:r>
    </w:p>
    <w:p w14:paraId="6916E11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30.3评审委员会应当认真研究招标文件，至少应了解熟悉以下内容：</w:t>
      </w:r>
    </w:p>
    <w:p w14:paraId="0CE1A08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（1）招标的目的；</w:t>
      </w:r>
    </w:p>
    <w:p w14:paraId="3D50C26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（2）招标项目需求的范围和性质；</w:t>
      </w:r>
    </w:p>
    <w:p w14:paraId="436F734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（3）招标文件规定的投标人的资格、财政预算限额、商务条款；</w:t>
      </w:r>
    </w:p>
    <w:p w14:paraId="6BDC7C0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（4）招标文件规定的评标程序、评标方法和评标因素；</w:t>
      </w:r>
    </w:p>
    <w:p w14:paraId="1E80246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（5）招标文件所列示的资格性审查表及符合性审查表。</w:t>
      </w:r>
    </w:p>
    <w:p w14:paraId="5EFF47D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31．独立评审</w:t>
      </w:r>
    </w:p>
    <w:p w14:paraId="569EF6AD">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w:t>
      </w:r>
      <w:r>
        <w:rPr>
          <w:rFonts w:asciiTheme="majorEastAsia" w:hAnsiTheme="majorEastAsia" w:eastAsiaTheme="majorEastAsia"/>
          <w:bCs/>
          <w:szCs w:val="21"/>
        </w:rPr>
        <w:t>1</w:t>
      </w:r>
      <w:r>
        <w:rPr>
          <w:rFonts w:hint="eastAsia" w:asciiTheme="majorEastAsia" w:hAnsiTheme="majorEastAsia" w:eastAsiaTheme="majorEastAsia"/>
          <w:bCs/>
          <w:szCs w:val="21"/>
        </w:rPr>
        <w:t>.1</w:t>
      </w:r>
      <w:r>
        <w:rPr>
          <w:rFonts w:hint="eastAsia" w:asciiTheme="majorEastAsia" w:hAnsiTheme="majorEastAsia" w:eastAsiaTheme="majorEastAsia"/>
          <w:szCs w:val="21"/>
        </w:rPr>
        <w:t>评审委员会</w:t>
      </w:r>
      <w:r>
        <w:rPr>
          <w:rFonts w:hint="eastAsia" w:asciiTheme="majorEastAsia" w:hAnsiTheme="majorEastAsia" w:eastAsiaTheme="majorEastAsia"/>
          <w:bCs/>
          <w:szCs w:val="21"/>
        </w:rPr>
        <w:t>成员的评标活动应当独立进行，并应遵循投标文件初审、澄清有关问题、比较与评价、确定中标供应商、编写评审报告的工作程序。</w:t>
      </w:r>
    </w:p>
    <w:p w14:paraId="5A4DF389">
      <w:pPr>
        <w:pStyle w:val="5"/>
        <w:widowControl/>
        <w:numPr>
          <w:ilvl w:val="0"/>
          <w:numId w:val="7"/>
        </w:numPr>
        <w:spacing w:before="120" w:beforeLines="50" w:after="12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评审程序及评审方法</w:t>
      </w:r>
    </w:p>
    <w:p w14:paraId="0D52269E">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32．投标文件初审</w:t>
      </w:r>
    </w:p>
    <w:p w14:paraId="2EDCE15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32.1投标文件初审包括资格性审查和符合性审查。</w:t>
      </w:r>
    </w:p>
    <w:p w14:paraId="7E04CBE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资格性审查：依据法律法规和招标文件的规定，对投标文件中的资格证明等进行审查，以确定投标供应商是否具备投标资格。</w:t>
      </w:r>
    </w:p>
    <w:p w14:paraId="59A92C8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符合性审查：依据招标文件的规定，对投标文件的有效性、完整性和对招标文件的响应程度进行审查，以确定是否满足符合性审查的要求。</w:t>
      </w:r>
    </w:p>
    <w:p w14:paraId="5453989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32.2 投标文件初审内容请详见《资格性审查表》和《符合性审查表》部分。投标人若有一条审查不通过则按投标无效处理。</w:t>
      </w:r>
    </w:p>
    <w:p w14:paraId="4A9138FA">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 投标文件初审中关于供应商家数的计算:</w:t>
      </w:r>
    </w:p>
    <w:p w14:paraId="14DEAA3A">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56B5EE30">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CA85A1B">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32.3.3非单一产品采购项目，采购人应当根据采购项目技术构成、产品价格比重等合理确定核心产品，并在招标文件中载明。多家投标人提供的核心产品品牌相同的，按前两款规定处理。</w:t>
      </w:r>
    </w:p>
    <w:p w14:paraId="692C2BC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32.4投标人投标文件作无效处理的情形，具体包括但不限于以下：</w:t>
      </w:r>
    </w:p>
    <w:p w14:paraId="5AD5ACC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32.4.1不同投标人的投标文件由同一单位或者同一个人编制，或者由同一个人分阶段参与编制；</w:t>
      </w:r>
    </w:p>
    <w:p w14:paraId="5C2CB213">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32.4.</w:t>
      </w:r>
      <w:r>
        <w:rPr>
          <w:rFonts w:hint="eastAsia" w:asciiTheme="majorEastAsia" w:hAnsiTheme="majorEastAsia" w:eastAsiaTheme="majorEastAsia"/>
          <w:szCs w:val="21"/>
        </w:rPr>
        <w:t>2不同投标人委托同一单位或者个人办理投标事宜；</w:t>
      </w:r>
    </w:p>
    <w:p w14:paraId="27E0858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32.4.3不同投标人的投标文件载明的项目管理成员或者联系人员为同一人；</w:t>
      </w:r>
    </w:p>
    <w:p w14:paraId="08507BC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32.4.4不同投标人的投标文件异常一致或者投标报价呈规律性差异；</w:t>
      </w:r>
    </w:p>
    <w:p w14:paraId="2B1894F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32.4.5</w:t>
      </w:r>
      <w:r>
        <w:rPr>
          <w:rFonts w:asciiTheme="majorEastAsia" w:hAnsiTheme="majorEastAsia" w:eastAsiaTheme="majorEastAsia"/>
          <w:szCs w:val="21"/>
        </w:rPr>
        <w:t>不同投标供应商的投标文件或部分投标文件相互混装</w:t>
      </w:r>
      <w:r>
        <w:rPr>
          <w:rFonts w:hint="eastAsia" w:asciiTheme="majorEastAsia" w:hAnsiTheme="majorEastAsia" w:eastAsiaTheme="majorEastAsia"/>
          <w:szCs w:val="21"/>
        </w:rPr>
        <w:t>；</w:t>
      </w:r>
    </w:p>
    <w:p w14:paraId="2E43D6D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32.4.6投标供应商之间相互约定给予未中标的供应商利益补偿；</w:t>
      </w:r>
    </w:p>
    <w:p w14:paraId="3352D6E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32.4.7不同投标供应商的法定代表人、主要经营负责人、项目投标授权代表人、项目负责人、主要技术人员为同一人、属同一单位或者同一单位缴纳社会保险；</w:t>
      </w:r>
    </w:p>
    <w:p w14:paraId="44B0F61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32.4.8不同投标供应商的投标文件内容存在非正常一致；</w:t>
      </w:r>
    </w:p>
    <w:p w14:paraId="55D5809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32.4.9在同一单位工作人员为两家以上（含两家）供应商进行同一项投标活动；</w:t>
      </w:r>
    </w:p>
    <w:p w14:paraId="4F5920F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32.4.10主管部门依照法律、法规认定的其他情形。</w:t>
      </w:r>
    </w:p>
    <w:p w14:paraId="140DA5B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32.5对不属于《资格性审查表》和《符合性审查表》所列的其他情形，除专用条款另有规定和32.4条款所列情形外，不得作为投标无效的理由。</w:t>
      </w:r>
    </w:p>
    <w:p w14:paraId="7C1E605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33．澄清有关问题</w:t>
      </w:r>
    </w:p>
    <w:p w14:paraId="3EF6C872">
      <w:pPr>
        <w:spacing w:line="360" w:lineRule="auto"/>
        <w:ind w:firstLine="411" w:firstLineChars="196"/>
        <w:rPr>
          <w:rFonts w:asciiTheme="majorEastAsia" w:hAnsiTheme="majorEastAsia" w:eastAsiaTheme="majorEastAsia"/>
          <w:szCs w:val="21"/>
        </w:rPr>
      </w:pPr>
      <w:bookmarkStart w:id="41" w:name="_Hlk71407321"/>
      <w:r>
        <w:rPr>
          <w:rFonts w:hint="eastAsia" w:asciiTheme="majorEastAsia" w:hAnsiTheme="majorEastAsia" w:eastAsiaTheme="majorEastAsia"/>
          <w:szCs w:val="21"/>
        </w:rPr>
        <w:t>3</w:t>
      </w:r>
      <w:r>
        <w:rPr>
          <w:rFonts w:asciiTheme="majorEastAsia" w:hAnsiTheme="majorEastAsia" w:eastAsiaTheme="majorEastAsia"/>
          <w:szCs w:val="21"/>
        </w:rPr>
        <w:t>3.1</w:t>
      </w:r>
      <w:r>
        <w:rPr>
          <w:rFonts w:hint="eastAsia" w:asciiTheme="majorEastAsia" w:hAnsiTheme="majorEastAsia" w:eastAsiaTheme="majorEastAsia"/>
          <w:szCs w:val="21"/>
        </w:rPr>
        <w:t>对招标文件中描述有歧义或前后不一致的地方（不含</w:t>
      </w:r>
      <w:r>
        <w:rPr>
          <w:rFonts w:asciiTheme="majorEastAsia" w:hAnsiTheme="majorEastAsia" w:eastAsiaTheme="majorEastAsia"/>
          <w:szCs w:val="21"/>
        </w:rPr>
        <w:t>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w:t>
      </w:r>
      <w:r>
        <w:rPr>
          <w:rFonts w:hint="eastAsia" w:asciiTheme="majorEastAsia" w:hAnsiTheme="majorEastAsia" w:eastAsiaTheme="majorEastAsia"/>
          <w:szCs w:val="21"/>
        </w:rPr>
        <w:t>的情况），评审委员会有权进行评判，但对同一条款的评判应适用于每个投标人。</w:t>
      </w:r>
      <w:bookmarkEnd w:id="41"/>
    </w:p>
    <w:p w14:paraId="3437BE1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3.2评</w:t>
      </w:r>
      <w:r>
        <w:rPr>
          <w:rFonts w:hint="eastAsia" w:asciiTheme="majorEastAsia" w:hAnsiTheme="majorEastAsia" w:eastAsiaTheme="majorEastAsia"/>
          <w:szCs w:val="21"/>
        </w:rPr>
        <w:t>审</w:t>
      </w:r>
      <w:r>
        <w:rPr>
          <w:rFonts w:asciiTheme="majorEastAsia" w:hAnsiTheme="majorEastAsia" w:eastAsiaTheme="majorEastAsia"/>
          <w:szCs w:val="21"/>
        </w:rPr>
        <w:t>委员会发现招标文件存在歧义、重大缺陷导致评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工作无法进行，或者招标文件内容违反国家有关强制性规定的，应当停止评</w:t>
      </w:r>
      <w:r>
        <w:rPr>
          <w:rFonts w:hint="eastAsia" w:asciiTheme="majorEastAsia" w:hAnsiTheme="majorEastAsia" w:eastAsiaTheme="majorEastAsia"/>
          <w:szCs w:val="21"/>
        </w:rPr>
        <w:t>审</w:t>
      </w:r>
      <w:r>
        <w:rPr>
          <w:rFonts w:asciiTheme="majorEastAsia" w:hAnsiTheme="majorEastAsia" w:eastAsiaTheme="majorEastAsia"/>
          <w:szCs w:val="21"/>
        </w:rPr>
        <w:t>工作，与</w:t>
      </w:r>
      <w:r>
        <w:rPr>
          <w:rFonts w:hint="eastAsia" w:asciiTheme="majorEastAsia" w:hAnsiTheme="majorEastAsia" w:eastAsiaTheme="majorEastAsia"/>
          <w:szCs w:val="21"/>
        </w:rPr>
        <w:t>采购代理机构</w:t>
      </w:r>
      <w:r>
        <w:rPr>
          <w:rFonts w:asciiTheme="majorEastAsia" w:hAnsiTheme="majorEastAsia" w:eastAsiaTheme="majorEastAsia"/>
          <w:szCs w:val="21"/>
        </w:rPr>
        <w:t>沟通并作书面记录。</w:t>
      </w:r>
      <w:r>
        <w:rPr>
          <w:rFonts w:hint="eastAsia" w:asciiTheme="majorEastAsia" w:hAnsiTheme="majorEastAsia" w:eastAsiaTheme="majorEastAsia"/>
          <w:szCs w:val="21"/>
        </w:rPr>
        <w:t>经</w:t>
      </w:r>
      <w:r>
        <w:rPr>
          <w:rFonts w:asciiTheme="majorEastAsia" w:hAnsiTheme="majorEastAsia" w:eastAsiaTheme="majorEastAsia"/>
          <w:szCs w:val="21"/>
        </w:rPr>
        <w:t>确认后，</w:t>
      </w:r>
      <w:r>
        <w:rPr>
          <w:rFonts w:hint="eastAsia" w:asciiTheme="majorEastAsia" w:hAnsiTheme="majorEastAsia" w:eastAsiaTheme="majorEastAsia"/>
          <w:szCs w:val="21"/>
        </w:rPr>
        <w:t>项目</w:t>
      </w:r>
      <w:r>
        <w:rPr>
          <w:rFonts w:asciiTheme="majorEastAsia" w:hAnsiTheme="majorEastAsia" w:eastAsiaTheme="majorEastAsia"/>
          <w:szCs w:val="21"/>
        </w:rPr>
        <w:t>应当修改招标文件，重新组织采购活动。</w:t>
      </w:r>
    </w:p>
    <w:p w14:paraId="25E59452">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33.3</w:t>
      </w:r>
      <w:r>
        <w:rPr>
          <w:rFonts w:hint="eastAsia" w:asciiTheme="majorEastAsia" w:hAnsiTheme="majorEastAsia" w:eastAsiaTheme="majorEastAsia"/>
          <w:szCs w:val="21"/>
        </w:rPr>
        <w:t>对于投标文件中含义不明确、同类问题表述不一致或者有明显文字和计算错误的内容，评审委员会应当以书面形式要求投标人作出必要的澄清、说明或者补正。</w:t>
      </w:r>
    </w:p>
    <w:p w14:paraId="756CE55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08D184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根据本通用条款第34条，凡属于评审委员会在评审中发现的算术错误进行核实的修改不在此列。</w:t>
      </w:r>
    </w:p>
    <w:p w14:paraId="35DC5253">
      <w:pPr>
        <w:spacing w:line="360" w:lineRule="auto"/>
        <w:rPr>
          <w:rFonts w:asciiTheme="majorEastAsia" w:hAnsiTheme="majorEastAsia" w:eastAsiaTheme="majorEastAsia"/>
          <w:b/>
          <w:bCs/>
          <w:szCs w:val="21"/>
        </w:rPr>
      </w:pPr>
      <w:bookmarkStart w:id="42" w:name="_Toc73521581"/>
      <w:bookmarkStart w:id="43" w:name="_Toc73518151"/>
      <w:bookmarkStart w:id="44" w:name="_Toc73517673"/>
      <w:bookmarkStart w:id="45" w:name="_Toc73521669"/>
      <w:bookmarkStart w:id="46" w:name="_Toc100052400"/>
      <w:r>
        <w:rPr>
          <w:rFonts w:hint="eastAsia" w:asciiTheme="majorEastAsia" w:hAnsiTheme="majorEastAsia" w:eastAsiaTheme="majorEastAsia"/>
          <w:b/>
          <w:bCs/>
          <w:szCs w:val="21"/>
        </w:rPr>
        <w:t>34．错误的修正</w:t>
      </w:r>
      <w:bookmarkEnd w:id="42"/>
      <w:bookmarkEnd w:id="43"/>
      <w:bookmarkEnd w:id="44"/>
      <w:bookmarkEnd w:id="45"/>
      <w:bookmarkEnd w:id="46"/>
    </w:p>
    <w:p w14:paraId="52594CF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投标文件报价出现前后不一致的，除专用条款另有规定外，按照下列规定修正：</w:t>
      </w:r>
    </w:p>
    <w:p w14:paraId="78EBC33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34.1投标文件中开标一览表投标报价内容与投标文件中投标报价相应内容不一致的，以开标一览表为准；</w:t>
      </w:r>
    </w:p>
    <w:p w14:paraId="036E5E0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34.2大写金额和小写金额不一致的，以大写金额为准；</w:t>
      </w:r>
    </w:p>
    <w:p w14:paraId="72FAA14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34.3单价金额小数点或者百分比有明显错位，以开标一览表的总价为准，并修改单价；</w:t>
      </w:r>
    </w:p>
    <w:p w14:paraId="0F4BB55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34.4总价金额与按单价汇总金额不一致的，以单价金额计算结果为准。</w:t>
      </w:r>
    </w:p>
    <w:p w14:paraId="761858C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34.5同时出现两种以上不一致的，按照前款规定的顺序修正。修正后的报价按照本通用条款33条的规定，经投标人确认后产生约束力，投标人不确认的，其投标无效。</w:t>
      </w:r>
    </w:p>
    <w:p w14:paraId="3A31EA5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35．投标文件的比较与评价</w:t>
      </w:r>
    </w:p>
    <w:p w14:paraId="76D638C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C0159E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评审委员会成员对需要共同认定的事项存在争议的，应当按照少数服从多数的原则作出结论。持不同意见的评审委员会成员应当书面作出说明，否则视为无异议。</w:t>
      </w:r>
    </w:p>
    <w:p w14:paraId="293B72F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36. 实地考察或资料查验</w:t>
      </w:r>
    </w:p>
    <w:p w14:paraId="2A895F2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36.1在评审过程中，评审委员会有权决定是否对本项目投标人进行实地考察或资料查验（原件）。投标人应随时做好接受实地考察或资料查验的准备。</w:t>
      </w:r>
    </w:p>
    <w:p w14:paraId="2FDDDECF">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37．评审方法</w:t>
      </w:r>
    </w:p>
    <w:p w14:paraId="29F257ED">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37.1.1最低价法</w:t>
      </w:r>
    </w:p>
    <w:p w14:paraId="0D560600">
      <w:pPr>
        <w:spacing w:line="360" w:lineRule="auto"/>
        <w:ind w:firstLine="411" w:firstLineChars="196"/>
        <w:rPr>
          <w:rFonts w:asciiTheme="majorEastAsia" w:hAnsiTheme="majorEastAsia" w:eastAsiaTheme="majorEastAsia"/>
          <w:szCs w:val="21"/>
        </w:rPr>
      </w:pPr>
      <w:bookmarkStart w:id="47" w:name="_Hlk72438142"/>
      <w:r>
        <w:rPr>
          <w:rFonts w:asciiTheme="majorEastAsia" w:hAnsiTheme="majorEastAsia" w:eastAsiaTheme="majorEastAsia"/>
          <w:szCs w:val="21"/>
        </w:rPr>
        <w:t>最低价法，是指</w:t>
      </w:r>
      <w:r>
        <w:rPr>
          <w:rFonts w:hint="eastAsia" w:asciiTheme="majorEastAsia" w:hAnsiTheme="majorEastAsia" w:eastAsiaTheme="majorEastAsia"/>
          <w:szCs w:val="21"/>
        </w:rPr>
        <w:t>完全</w:t>
      </w:r>
      <w:r>
        <w:rPr>
          <w:rFonts w:asciiTheme="majorEastAsia" w:hAnsiTheme="majorEastAsia" w:eastAsiaTheme="majorEastAsia"/>
          <w:szCs w:val="21"/>
        </w:rPr>
        <w:t>满足招标文件实质性要求，</w:t>
      </w:r>
      <w:r>
        <w:rPr>
          <w:rFonts w:hint="eastAsia" w:asciiTheme="majorEastAsia" w:hAnsiTheme="majorEastAsia" w:eastAsiaTheme="majorEastAsia"/>
          <w:szCs w:val="21"/>
        </w:rPr>
        <w:t>按照报价由低到高的顺序，依据招标文件中规定的数量或者比例推荐候选中标供应商。</w:t>
      </w:r>
    </w:p>
    <w:p w14:paraId="4578235D">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37.1.2综合评分法</w:t>
      </w:r>
    </w:p>
    <w:p w14:paraId="22F4E2AB">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综合评分法，是指</w:t>
      </w:r>
      <w:r>
        <w:rPr>
          <w:rFonts w:hint="eastAsia" w:asciiTheme="majorEastAsia" w:hAnsiTheme="majorEastAsia" w:eastAsiaTheme="majorEastAsia"/>
          <w:szCs w:val="21"/>
        </w:rPr>
        <w:t>在</w:t>
      </w:r>
      <w:r>
        <w:rPr>
          <w:rFonts w:asciiTheme="majorEastAsia" w:hAnsiTheme="majorEastAsia" w:eastAsiaTheme="majorEastAsia"/>
          <w:szCs w:val="21"/>
        </w:rPr>
        <w:t>满足招标文件全部实质性要求</w:t>
      </w:r>
      <w:r>
        <w:rPr>
          <w:rFonts w:hint="eastAsia" w:asciiTheme="majorEastAsia" w:hAnsiTheme="majorEastAsia" w:eastAsiaTheme="majorEastAsia"/>
          <w:szCs w:val="21"/>
        </w:rPr>
        <w:t>的前提下</w:t>
      </w:r>
      <w:r>
        <w:rPr>
          <w:rFonts w:asciiTheme="majorEastAsia" w:hAnsiTheme="majorEastAsia" w:eastAsiaTheme="majorEastAsia"/>
          <w:szCs w:val="21"/>
        </w:rPr>
        <w:t>，</w:t>
      </w:r>
      <w:r>
        <w:rPr>
          <w:rFonts w:hint="eastAsia" w:asciiTheme="majorEastAsia" w:hAnsiTheme="majorEastAsia" w:eastAsiaTheme="majorEastAsia"/>
          <w:szCs w:val="21"/>
        </w:rPr>
        <w:t>按照招标文件中规定的各项因素进行综合评审，评审总得分排名前列的投标人，作为推荐的候选中标供应商。</w:t>
      </w:r>
      <w:bookmarkEnd w:id="47"/>
    </w:p>
    <w:p w14:paraId="3A24AA53">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37.2 本项目采用的评审方法见本项目招标文件第一册“专用条款”的相关内容。</w:t>
      </w:r>
    </w:p>
    <w:p w14:paraId="08C24F40">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37.3重新评审的情形</w:t>
      </w:r>
    </w:p>
    <w:p w14:paraId="71C336FD">
      <w:pPr>
        <w:spacing w:line="360" w:lineRule="auto"/>
        <w:ind w:firstLine="411" w:firstLineChars="196"/>
        <w:rPr>
          <w:rFonts w:asciiTheme="majorEastAsia" w:hAnsiTheme="majorEastAsia" w:eastAsiaTheme="majorEastAsia"/>
          <w:b/>
          <w:bCs/>
          <w:szCs w:val="21"/>
        </w:rPr>
      </w:pPr>
      <w:r>
        <w:rPr>
          <w:rFonts w:hint="eastAsia" w:cs="宋体" w:asciiTheme="majorEastAsia" w:hAnsiTheme="majorEastAsia" w:eastAsiaTheme="majorEastAsia"/>
          <w:szCs w:val="21"/>
        </w:rPr>
        <w:t>评审结果汇总完成后，除下列情形外，任何人不得修改评审结果：</w:t>
      </w:r>
    </w:p>
    <w:p w14:paraId="020479CB">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37.3.1分值汇总计算错误的；</w:t>
      </w:r>
    </w:p>
    <w:p w14:paraId="3DD84420">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37.3.2分项评分超出评分标准范围的；</w:t>
      </w:r>
    </w:p>
    <w:p w14:paraId="38060A1A">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37.3.3评审委员会成员对客观评审因素评分不一致的；</w:t>
      </w:r>
    </w:p>
    <w:p w14:paraId="5B57DE1E">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37.3.4经评审委员会认定评分畸高、畸低的。</w:t>
      </w:r>
    </w:p>
    <w:p w14:paraId="725FE5ED">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1D759395">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投标人对本条第一款情形提出质疑的，采购人或者采购代理机构可以组织原评审委员会进行重新评审，重新评审改变评审结果的，应当书面报告本级财政部门。</w:t>
      </w:r>
    </w:p>
    <w:p w14:paraId="7144D263">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 xml:space="preserve"> 37.4重新组建评审委员会的情形</w:t>
      </w:r>
    </w:p>
    <w:p w14:paraId="1EF8F6B1">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评审委员会或者其成员存在下列情形导致评审结果无效的，重新组建评审委员会进行评标，并书面报告本级财政部门：</w:t>
      </w:r>
    </w:p>
    <w:p w14:paraId="695C0319">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37.4.1评审委员会组成不符合《政府采购货物和服务招标投标管理办法》规定的；</w:t>
      </w:r>
    </w:p>
    <w:p w14:paraId="071EE3A0">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37.4.2有《政府采购货物和服务招标投标管理办法》第六十二条第一至五项情形的；</w:t>
      </w:r>
    </w:p>
    <w:p w14:paraId="642849BB">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37.4.3评审委员会及其成员独立评标受到非法干预的；</w:t>
      </w:r>
    </w:p>
    <w:p w14:paraId="01A13E4B">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37.4.4有政府采购法实施条例第七十五条规定的违法行为的。</w:t>
      </w:r>
    </w:p>
    <w:p w14:paraId="581E34D6">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有违法违规行为的原评审委员会成员不得参加重新组建的评审委员会。</w:t>
      </w:r>
    </w:p>
    <w:p w14:paraId="759BFD2D">
      <w:pPr>
        <w:pStyle w:val="5"/>
        <w:widowControl/>
        <w:numPr>
          <w:ilvl w:val="0"/>
          <w:numId w:val="7"/>
        </w:numPr>
        <w:spacing w:before="120" w:beforeLines="50" w:after="12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定标及公示</w:t>
      </w:r>
    </w:p>
    <w:p w14:paraId="7176C5B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38．定标方法</w:t>
      </w:r>
    </w:p>
    <w:p w14:paraId="39CC8100">
      <w:pPr>
        <w:spacing w:line="360" w:lineRule="auto"/>
        <w:ind w:firstLine="411" w:firstLineChars="196"/>
        <w:rPr>
          <w:rFonts w:asciiTheme="majorEastAsia" w:hAnsiTheme="majorEastAsia" w:eastAsiaTheme="majorEastAsia"/>
          <w:szCs w:val="21"/>
        </w:rPr>
      </w:pPr>
      <w:bookmarkStart w:id="48" w:name="_Hlk73782795"/>
      <w:r>
        <w:rPr>
          <w:rFonts w:hint="eastAsia" w:asciiTheme="majorEastAsia" w:hAnsiTheme="majorEastAsia" w:eastAsiaTheme="majorEastAsia"/>
          <w:szCs w:val="21"/>
        </w:rPr>
        <w:t>38.1非评定分离项目定标方法</w:t>
      </w:r>
    </w:p>
    <w:p w14:paraId="14AFE36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1.1评审委员会依据本项目招标文件所约定的评审方法进行评审和比较，向采购代理机构提交书面评审报告，并根据评审方法比较评价结果从优到劣进行排序，确定候选中标供应商。</w:t>
      </w:r>
    </w:p>
    <w:p w14:paraId="0204098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1.2</w:t>
      </w:r>
      <w:r>
        <w:rPr>
          <w:rFonts w:asciiTheme="majorEastAsia" w:hAnsiTheme="majorEastAsia" w:eastAsiaTheme="majorEastAsia"/>
          <w:szCs w:val="21"/>
        </w:rPr>
        <w:t>采用最低价法的，评</w:t>
      </w:r>
      <w:r>
        <w:rPr>
          <w:rFonts w:hint="eastAsia" w:asciiTheme="majorEastAsia" w:hAnsiTheme="majorEastAsia" w:eastAsiaTheme="majorEastAsia"/>
          <w:szCs w:val="21"/>
        </w:rPr>
        <w:t>审</w:t>
      </w:r>
      <w:r>
        <w:rPr>
          <w:rFonts w:asciiTheme="majorEastAsia" w:hAnsiTheme="majorEastAsia" w:eastAsiaTheme="majorEastAsia"/>
          <w:szCs w:val="21"/>
        </w:rPr>
        <w:t>结果按投标报价由低到高顺序排列。投标报价相同的并列。投标文件满足招标文件全部实质性要求且投标报价最低的</w:t>
      </w:r>
      <w:r>
        <w:rPr>
          <w:rFonts w:hint="eastAsia" w:asciiTheme="majorEastAsia" w:hAnsiTheme="majorEastAsia" w:eastAsiaTheme="majorEastAsia"/>
          <w:szCs w:val="21"/>
        </w:rPr>
        <w:t>投标人为</w:t>
      </w:r>
      <w:bookmarkStart w:id="49" w:name="_Hlk73821177"/>
      <w:r>
        <w:rPr>
          <w:rFonts w:hint="eastAsia" w:asciiTheme="majorEastAsia" w:hAnsiTheme="majorEastAsia" w:eastAsiaTheme="majorEastAsia"/>
          <w:szCs w:val="21"/>
        </w:rPr>
        <w:t>中标供应商</w:t>
      </w:r>
      <w:r>
        <w:rPr>
          <w:rFonts w:asciiTheme="majorEastAsia" w:hAnsiTheme="majorEastAsia" w:eastAsiaTheme="majorEastAsia"/>
          <w:szCs w:val="21"/>
        </w:rPr>
        <w:t>（</w:t>
      </w:r>
      <w:r>
        <w:rPr>
          <w:rFonts w:hint="eastAsia" w:asciiTheme="majorEastAsia" w:hAnsiTheme="majorEastAsia" w:eastAsiaTheme="majorEastAsia"/>
          <w:szCs w:val="21"/>
        </w:rPr>
        <w:t>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bookmarkEnd w:id="49"/>
      <w:r>
        <w:rPr>
          <w:rFonts w:asciiTheme="majorEastAsia" w:hAnsiTheme="majorEastAsia" w:eastAsiaTheme="majorEastAsia"/>
          <w:szCs w:val="21"/>
        </w:rPr>
        <w:t>）。</w:t>
      </w:r>
    </w:p>
    <w:p w14:paraId="391E23B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1.3</w:t>
      </w:r>
      <w:r>
        <w:rPr>
          <w:rFonts w:asciiTheme="majorEastAsia" w:hAnsiTheme="majorEastAsia" w:eastAsiaTheme="major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Theme="majorEastAsia" w:hAnsiTheme="majorEastAsia" w:eastAsiaTheme="majorEastAsia"/>
          <w:szCs w:val="21"/>
        </w:rPr>
        <w:t>为中标供应商</w:t>
      </w:r>
      <w:r>
        <w:rPr>
          <w:rFonts w:asciiTheme="majorEastAsia" w:hAnsiTheme="majorEastAsia" w:eastAsiaTheme="majorEastAsia"/>
          <w:szCs w:val="21"/>
        </w:rPr>
        <w:t>（</w:t>
      </w:r>
      <w:r>
        <w:rPr>
          <w:rFonts w:hint="eastAsia" w:asciiTheme="majorEastAsia" w:hAnsiTheme="majorEastAsia" w:eastAsiaTheme="majorEastAsia"/>
          <w:szCs w:val="21"/>
        </w:rPr>
        <w:t>中标候选人如不止一名，则推选排名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r>
        <w:rPr>
          <w:rFonts w:asciiTheme="majorEastAsia" w:hAnsiTheme="majorEastAsia" w:eastAsiaTheme="majorEastAsia"/>
          <w:szCs w:val="21"/>
        </w:rPr>
        <w:t>）。</w:t>
      </w:r>
      <w:r>
        <w:rPr>
          <w:rFonts w:hint="eastAsia" w:asciiTheme="majorEastAsia" w:hAnsiTheme="majorEastAsia" w:eastAsiaTheme="majorEastAsia"/>
          <w:szCs w:val="21"/>
        </w:rPr>
        <w:t>出现</w:t>
      </w:r>
      <w:r>
        <w:rPr>
          <w:rFonts w:asciiTheme="majorEastAsia" w:hAnsiTheme="majorEastAsia" w:eastAsiaTheme="majorEastAsia"/>
          <w:szCs w:val="21"/>
        </w:rPr>
        <w:t>得分且投标报价相同的并列</w:t>
      </w:r>
      <w:r>
        <w:rPr>
          <w:rFonts w:hint="eastAsia" w:asciiTheme="majorEastAsia" w:hAnsiTheme="majorEastAsia" w:eastAsiaTheme="majorEastAsia"/>
          <w:szCs w:val="21"/>
        </w:rPr>
        <w:t>情况时，采取随机抽取的方式确定，具体操作办法及流程由评审委员会确定。</w:t>
      </w:r>
    </w:p>
    <w:p w14:paraId="3DACAD3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38.2评定分离项目定标方法</w:t>
      </w:r>
    </w:p>
    <w:p w14:paraId="571A759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33F851F5">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 xml:space="preserve">38.2.2 </w:t>
      </w:r>
      <w:bookmarkStart w:id="50" w:name="_Hlk71469733"/>
      <w:r>
        <w:rPr>
          <w:rFonts w:asciiTheme="majorEastAsia" w:hAnsiTheme="majorEastAsia" w:eastAsiaTheme="majorEastAsia"/>
          <w:szCs w:val="21"/>
        </w:rPr>
        <w:t>适用评定分离的政府采购项目，采用综合评分法评</w:t>
      </w:r>
      <w:r>
        <w:rPr>
          <w:rFonts w:hint="eastAsia" w:asciiTheme="majorEastAsia" w:hAnsiTheme="majorEastAsia" w:eastAsiaTheme="majorEastAsia"/>
          <w:szCs w:val="21"/>
        </w:rPr>
        <w:t>审。评审委员会按照评审结果，推荐</w:t>
      </w:r>
      <w:r>
        <w:rPr>
          <w:rFonts w:asciiTheme="majorEastAsia" w:hAnsiTheme="majorEastAsia" w:eastAsiaTheme="majorEastAsia"/>
          <w:szCs w:val="21"/>
        </w:rPr>
        <w:t>三个合格的候选中标供应商。</w:t>
      </w:r>
    </w:p>
    <w:p w14:paraId="79BB84C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38.2.3</w:t>
      </w:r>
      <w:bookmarkStart w:id="51" w:name="_Hlk71469688"/>
      <w:r>
        <w:rPr>
          <w:rFonts w:asciiTheme="majorEastAsia" w:hAnsiTheme="majorEastAsia" w:eastAsiaTheme="majorEastAsia"/>
          <w:szCs w:val="21"/>
        </w:rPr>
        <w:t>适用评定分离的政府采购项目，</w:t>
      </w:r>
      <w:r>
        <w:rPr>
          <w:rFonts w:hint="eastAsia" w:asciiTheme="majorEastAsia" w:hAnsiTheme="majorEastAsia" w:eastAsiaTheme="majorEastAsia"/>
          <w:szCs w:val="21"/>
        </w:rPr>
        <w:t>按照自定法确定中标供应商：自定法是指采购人组织定标委员会，由定标委员会在三家候选中标供应商中确定中标供应商。</w:t>
      </w:r>
      <w:bookmarkEnd w:id="50"/>
      <w:bookmarkEnd w:id="51"/>
    </w:p>
    <w:p w14:paraId="77DD45CB">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38.2.4</w:t>
      </w:r>
      <w:r>
        <w:rPr>
          <w:rFonts w:hint="eastAsia" w:asciiTheme="majorEastAsia" w:hAnsiTheme="majorEastAsia" w:eastAsiaTheme="majorEastAsia"/>
          <w:szCs w:val="21"/>
        </w:rPr>
        <w:t>采购代理机构</w:t>
      </w:r>
      <w:r>
        <w:rPr>
          <w:rFonts w:asciiTheme="majorEastAsia" w:hAnsiTheme="majorEastAsia" w:eastAsiaTheme="majorEastAsia"/>
          <w:szCs w:val="21"/>
        </w:rPr>
        <w:t>应当自评审结束之日起两个工作日内将候选中标供应商名单及其投标文件、评审报告送交采购人</w:t>
      </w:r>
      <w:r>
        <w:rPr>
          <w:rFonts w:hint="eastAsia" w:asciiTheme="majorEastAsia" w:hAnsiTheme="majorEastAsia" w:eastAsiaTheme="majorEastAsia"/>
          <w:szCs w:val="21"/>
        </w:rPr>
        <w:t>。</w:t>
      </w:r>
      <w:r>
        <w:rPr>
          <w:rFonts w:asciiTheme="majorEastAsia" w:hAnsiTheme="majorEastAsia" w:eastAsiaTheme="majorEastAsia"/>
          <w:szCs w:val="21"/>
        </w:rPr>
        <w:t>采购人应当安排专人对定标过程进行书面记录，形成定标报告，作为采购文件的组成部分存档，并及时将定标结果反馈</w:t>
      </w:r>
      <w:r>
        <w:rPr>
          <w:rFonts w:hint="eastAsia" w:asciiTheme="majorEastAsia" w:hAnsiTheme="majorEastAsia" w:eastAsiaTheme="majorEastAsia"/>
          <w:szCs w:val="21"/>
        </w:rPr>
        <w:t>采购代理机构。具体定标程序及相关要求以按照《</w:t>
      </w:r>
      <w:r>
        <w:rPr>
          <w:rFonts w:asciiTheme="majorEastAsia" w:hAnsiTheme="majorEastAsia" w:eastAsiaTheme="majorEastAsia"/>
          <w:szCs w:val="21"/>
        </w:rPr>
        <w:t>深圳市财政局关于印发</w:t>
      </w:r>
      <w:r>
        <w:rPr>
          <w:rFonts w:hint="eastAsia" w:asciiTheme="majorEastAsia" w:hAnsiTheme="majorEastAsia" w:eastAsiaTheme="majorEastAsia"/>
          <w:szCs w:val="21"/>
        </w:rPr>
        <w:t>〈</w:t>
      </w:r>
      <w:r>
        <w:rPr>
          <w:rFonts w:asciiTheme="majorEastAsia" w:hAnsiTheme="majorEastAsia" w:eastAsiaTheme="majorEastAsia"/>
          <w:szCs w:val="21"/>
        </w:rPr>
        <w:t>深圳市政府采购评标定标分离管理办法</w:t>
      </w:r>
      <w:r>
        <w:rPr>
          <w:rFonts w:hint="eastAsia" w:asciiTheme="majorEastAsia" w:hAnsiTheme="majorEastAsia" w:eastAsiaTheme="majorEastAsia"/>
          <w:szCs w:val="21"/>
        </w:rPr>
        <w:t>〉</w:t>
      </w:r>
      <w:r>
        <w:rPr>
          <w:rFonts w:asciiTheme="majorEastAsia" w:hAnsiTheme="majorEastAsia" w:eastAsiaTheme="majorEastAsia"/>
          <w:szCs w:val="21"/>
        </w:rPr>
        <w:t>的通知</w:t>
      </w:r>
      <w:r>
        <w:rPr>
          <w:rFonts w:hint="eastAsia" w:asciiTheme="majorEastAsia" w:hAnsiTheme="majorEastAsia" w:eastAsiaTheme="majorEastAsia"/>
          <w:szCs w:val="21"/>
        </w:rPr>
        <w:t>》（深财规【2</w:t>
      </w:r>
      <w:r>
        <w:rPr>
          <w:rFonts w:asciiTheme="majorEastAsia" w:hAnsiTheme="majorEastAsia" w:eastAsiaTheme="majorEastAsia"/>
          <w:szCs w:val="21"/>
        </w:rPr>
        <w:t>020</w:t>
      </w:r>
      <w:r>
        <w:rPr>
          <w:rFonts w:hint="eastAsia" w:asciiTheme="majorEastAsia" w:hAnsiTheme="majorEastAsia" w:eastAsiaTheme="majorEastAsia"/>
          <w:szCs w:val="21"/>
        </w:rPr>
        <w:t>】1号）执行。</w:t>
      </w:r>
    </w:p>
    <w:p w14:paraId="60955BB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说明：采购人及投标供应商应按照上述方法提前做好相关准备。</w:t>
      </w:r>
    </w:p>
    <w:p w14:paraId="2572360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38.3专用条款另有规定的，按专用条款相关要求定标。</w:t>
      </w:r>
      <w:bookmarkEnd w:id="48"/>
    </w:p>
    <w:p w14:paraId="4F000078">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39．编写评审报告</w:t>
      </w:r>
    </w:p>
    <w:p w14:paraId="772EAAC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4D3F09D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40．中标公告</w:t>
      </w:r>
    </w:p>
    <w:p w14:paraId="6B92515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40.1</w:t>
      </w:r>
      <w:bookmarkStart w:id="52" w:name="_Hlk72438709"/>
      <w:r>
        <w:rPr>
          <w:rFonts w:hint="eastAsia" w:asciiTheme="majorEastAsia" w:hAnsiTheme="majorEastAsia" w:eastAsiaTheme="majorEastAsia"/>
          <w:szCs w:val="21"/>
        </w:rPr>
        <w:t>为体现“公开、公平、公正”的原则，评审结束后经采购人确认（确定）评审结果，采购代理机构将在“深圳政府采购智慧平台（http://zfcg.szggzy.com/）”上发布中标结果公告。</w:t>
      </w:r>
      <w:bookmarkEnd w:id="52"/>
      <w:bookmarkStart w:id="53" w:name="_Hlk72438751"/>
      <w:r>
        <w:rPr>
          <w:rFonts w:hint="eastAsia" w:asciiTheme="majorEastAsia" w:hAnsiTheme="majorEastAsia" w:eastAsiaTheme="majorEastAsia"/>
          <w:szCs w:val="21"/>
        </w:rPr>
        <w:t>供应商如对评审结果有异议，</w:t>
      </w:r>
      <w:r>
        <w:rPr>
          <w:rFonts w:asciiTheme="majorEastAsia" w:hAnsiTheme="majorEastAsia" w:eastAsiaTheme="majorEastAsia"/>
          <w:szCs w:val="21"/>
        </w:rPr>
        <w:t>可在发布公示日期起</w:t>
      </w:r>
      <w:r>
        <w:rPr>
          <w:rFonts w:hint="eastAsia" w:asciiTheme="majorEastAsia" w:hAnsiTheme="majorEastAsia" w:eastAsiaTheme="majorEastAsia"/>
          <w:szCs w:val="21"/>
        </w:rPr>
        <w:t>七</w:t>
      </w:r>
      <w:r>
        <w:rPr>
          <w:rFonts w:asciiTheme="majorEastAsia" w:hAnsiTheme="majorEastAsia" w:eastAsiaTheme="majorEastAsia"/>
          <w:szCs w:val="21"/>
        </w:rPr>
        <w:t>个工作日内向</w:t>
      </w:r>
      <w:r>
        <w:rPr>
          <w:rFonts w:hint="eastAsia" w:asciiTheme="majorEastAsia" w:hAnsiTheme="majorEastAsia" w:eastAsiaTheme="majorEastAsia"/>
          <w:szCs w:val="21"/>
        </w:rPr>
        <w:t>采购代理机构</w:t>
      </w:r>
      <w:r>
        <w:rPr>
          <w:rFonts w:asciiTheme="majorEastAsia" w:hAnsiTheme="majorEastAsia" w:eastAsiaTheme="majorEastAsia"/>
          <w:szCs w:val="21"/>
        </w:rPr>
        <w:t>提出。 监督电话：0755-83948143。</w:t>
      </w:r>
      <w:r>
        <w:rPr>
          <w:rFonts w:hint="eastAsia" w:asciiTheme="majorEastAsia" w:hAnsiTheme="majorEastAsia" w:eastAsiaTheme="majorEastAsia"/>
          <w:szCs w:val="21"/>
        </w:rPr>
        <w:t>若在公示期内未提出质疑，则视为认同该评审结果。</w:t>
      </w:r>
    </w:p>
    <w:bookmarkEnd w:id="53"/>
    <w:p w14:paraId="5B85B21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40.2质疑、投诉供应商应保证质疑、投诉内容的真实性和可靠性，并承担相应的法律责任。</w:t>
      </w:r>
    </w:p>
    <w:p w14:paraId="5F8C87C2">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41．中标通知书</w:t>
      </w:r>
    </w:p>
    <w:p w14:paraId="0712196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w:t>
      </w:r>
      <w:r>
        <w:rPr>
          <w:rFonts w:hint="eastAsia" w:asciiTheme="majorEastAsia" w:hAnsiTheme="majorEastAsia" w:eastAsiaTheme="majorEastAsia"/>
          <w:szCs w:val="21"/>
        </w:rPr>
        <w:t>1</w:t>
      </w:r>
      <w:bookmarkStart w:id="54" w:name="_Hlk72438863"/>
      <w:r>
        <w:rPr>
          <w:rFonts w:hint="eastAsia" w:asciiTheme="majorEastAsia" w:hAnsiTheme="majorEastAsia" w:eastAsiaTheme="majorEastAsia"/>
          <w:szCs w:val="21"/>
        </w:rPr>
        <w:t>中标公告公布以后无异常的情况下,采购代理机构将向中标供应商和采购人发出中标通知书。</w:t>
      </w:r>
      <w:bookmarkEnd w:id="54"/>
    </w:p>
    <w:p w14:paraId="06EAC64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.2</w:t>
      </w:r>
      <w:r>
        <w:rPr>
          <w:rFonts w:hint="eastAsia" w:asciiTheme="majorEastAsia" w:hAnsiTheme="majorEastAsia" w:eastAsiaTheme="majorEastAsia"/>
          <w:szCs w:val="21"/>
        </w:rPr>
        <w:t>中标通知书是合同的重要组成部分。</w:t>
      </w:r>
    </w:p>
    <w:p w14:paraId="7CC4E942">
      <w:pPr>
        <w:spacing w:line="360" w:lineRule="auto"/>
        <w:ind w:firstLine="411" w:firstLineChars="196"/>
        <w:rPr>
          <w:rFonts w:asciiTheme="majorEastAsia" w:hAnsiTheme="majorEastAsia" w:eastAsiaTheme="majorEastAsia"/>
          <w:szCs w:val="21"/>
        </w:rPr>
      </w:pPr>
      <w:bookmarkStart w:id="55" w:name="_Hlk71407340"/>
      <w:r>
        <w:rPr>
          <w:rFonts w:hint="eastAsia" w:asciiTheme="majorEastAsia" w:hAnsiTheme="majorEastAsia" w:eastAsiaTheme="majorEastAsia"/>
          <w:szCs w:val="21"/>
        </w:rPr>
        <w:t>41.3因质疑投诉或其它原因导致项目结果变更或采购终止的，采购代理机构有权吊销中标通知书。</w:t>
      </w:r>
    </w:p>
    <w:p w14:paraId="1753E18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41.4中标服务费</w:t>
      </w:r>
    </w:p>
    <w:p w14:paraId="11900080">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mc:AlternateContent>
          <mc:Choice Requires="wps">
            <w:drawing>
              <wp:anchor distT="0" distB="0" distL="114300" distR="114300" simplePos="0" relativeHeight="251660288" behindDoc="0" locked="0" layoutInCell="0" allowOverlap="1">
                <wp:simplePos x="0" y="0"/>
                <wp:positionH relativeFrom="column">
                  <wp:posOffset>154305</wp:posOffset>
                </wp:positionH>
                <wp:positionV relativeFrom="paragraph">
                  <wp:posOffset>772160</wp:posOffset>
                </wp:positionV>
                <wp:extent cx="1322070" cy="798830"/>
                <wp:effectExtent l="0" t="0" r="11430" b="1270"/>
                <wp:wrapNone/>
                <wp:docPr id="6" name="直接连接符 1"/>
                <wp:cNvGraphicFramePr/>
                <a:graphic xmlns:a="http://schemas.openxmlformats.org/drawingml/2006/main">
                  <a:graphicData uri="http://schemas.microsoft.com/office/word/2010/wordprocessingShape">
                    <wps:wsp>
                      <wps:cNvCnPr/>
                      <wps:spPr>
                        <a:xfrm flipH="1" flipV="1">
                          <a:off x="0" y="0"/>
                          <a:ext cx="1322070" cy="7988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x y;margin-left:12.15pt;margin-top:60.8pt;height:62.9pt;width:104.1pt;z-index:251660288;mso-width-relative:page;mso-height-relative:page;" filled="f" stroked="t" coordsize="21600,21600" o:allowincell="f" o:gfxdata="UEsDBAoAAAAAAIdO4kAAAAAAAAAAAAAAAAAEAAAAZHJzL1BLAwQUAAAACACHTuJAEnlk3NUAAAAK&#10;AQAADwAAAGRycy9kb3ducmV2LnhtbE2PTW7CMBCF95V6B2sqdVfsGEqiNA4LJA4ArRBLE7txVHuc&#10;xobQ23dYtcuZ9+n9NJtb8OxqpzREVFAsBDCLXTQD9go+3ncvFbCUNRrtI1oFPzbBpn18aHRt4ox7&#10;ez3knpEJplorcDmPNeepczbotIijRdI+4xR0pnPquZn0TObBcynEmgc9ICU4Pdqts93X4RIU+EpU&#10;38dtOZ/2hlJ2R++wLJR6firEG7Bsb/kPhnt9qg4tdTrHC5rEvAK5WhJJf1msgREgl/IV2PmulCvg&#10;bcP/T2h/AVBLAwQUAAAACACHTuJA/i+eiwUCAAD/AwAADgAAAGRycy9lMm9Eb2MueG1srVO9jhMx&#10;EO6ReAfLPdkkp7vLrbK54sJBgSASP/3E9mYt+U8eXzZ5CV4AiQ4qSnrehuMxGHtDdBxNClxYY8/4&#10;83yfP8+vd9awrYqovWv4ZDTmTDnhpXabhr9/d/tsxhkmcBKMd6rhe4X8evH0ybwPtZr6zhupIiMQ&#10;h3UfGt6lFOqqQtEpCzjyQTlKtj5aSLSMm0pG6Andmmo6Hl9UvY8yRC8UIu0uhyQ/IMZTAH3baqGW&#10;XtxZ5dKAGpWBRJSw0wH5onTbtkqkN22LKjHTcGKaykyXULzOc7WYQ72JEDotDi3AKS084mRBO7r0&#10;CLWEBOwu6n+grBbRo2/TSHhbDUSKIsRiMn6kzdsOgipcSGoMR9Hx/8GK19tVZFo2/IIzB5Ye/P7T&#10;958fv/z68Znm+29f2SSL1AesqfbGreJhhWEVM+NdGy1rjQ4vyU28RB9ylHPEj+2K2Puj2GqXmKDN&#10;ydl0Or6kdxCUu7yazc7Ka1QDYj4dIqYXyluWg4Yb7bIYUMP2FSbqgkr/lORt41jf8Kvz6TlhAjmz&#10;JUdQaAOxQ7cpZ9EbLW+1MfkExs36xkS2heyOMjJXwv2rLF+yBOyGupIafNMpkM+dZGkfSDdH34Xn&#10;FqySnBlFvytHBAh1Am1OqaSrjcsHVPHugWcWf5A7R2sv9+UVqrwiX5SODx7Oxnu4pvjhv1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J5ZNzVAAAACgEAAA8AAAAAAAAAAQAgAAAAIgAAAGRycy9k&#10;b3ducmV2LnhtbFBLAQIUABQAAAAIAIdO4kD+L56LBQIAAP8DAAAOAAAAAAAAAAEAIAAAACQBAABk&#10;cnMvZTJvRG9jLnhtbFBLBQYAAAAABgAGAFkBAACbBQAAAAA=&#10;">
                <v:fill on="f" focussize="0,0"/>
                <v:stroke color="#000000" joinstyle="round"/>
                <v:imagedata o:title=""/>
                <o:lock v:ext="edit" aspectratio="f"/>
              </v:line>
            </w:pict>
          </mc:Fallback>
        </mc:AlternateContent>
      </w:r>
      <w:r>
        <w:rPr>
          <w:rFonts w:hint="eastAsia" w:asciiTheme="majorEastAsia" w:hAnsiTheme="majorEastAsia" w:eastAsiaTheme="majorEastAsia"/>
          <w:szCs w:val="21"/>
        </w:rPr>
        <w:t>中标人须在中标公告公示期结束后，向采购代理机构缴纳中标服务费。中标服务费收费标准根据《深圳市财政委员会关于规范深圳市社会采购代理机构的管理有关事项的补充通知（深财购[2018]27号）》文件相关规定，按照差额定率累进法计算。具体收费标准详见下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027"/>
        <w:gridCol w:w="2158"/>
        <w:gridCol w:w="2158"/>
      </w:tblGrid>
      <w:tr w14:paraId="4AF9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802" w:type="dxa"/>
          </w:tcPr>
          <w:p w14:paraId="171B7F8E">
            <w:pPr>
              <w:spacing w:line="360" w:lineRule="auto"/>
              <w:ind w:firstLine="1724" w:firstLineChars="821"/>
              <w:rPr>
                <w:rFonts w:asciiTheme="majorEastAsia" w:hAnsiTheme="majorEastAsia" w:eastAsiaTheme="majorEastAsia"/>
                <w:b/>
                <w:szCs w:val="21"/>
              </w:rPr>
            </w:pPr>
            <w:r>
              <w:rPr>
                <w:rFonts w:asciiTheme="majorEastAsia" w:hAnsiTheme="majorEastAsia" w:eastAsiaTheme="majorEastAsia"/>
                <w:szCs w:val="21"/>
              </w:rPr>
              <mc:AlternateContent>
                <mc:Choice Requires="wps">
                  <w:drawing>
                    <wp:anchor distT="0" distB="0" distL="114300" distR="114300" simplePos="0" relativeHeight="251661312" behindDoc="0" locked="0" layoutInCell="0" allowOverlap="1">
                      <wp:simplePos x="0" y="0"/>
                      <wp:positionH relativeFrom="column">
                        <wp:posOffset>-257175</wp:posOffset>
                      </wp:positionH>
                      <wp:positionV relativeFrom="paragraph">
                        <wp:posOffset>351155</wp:posOffset>
                      </wp:positionV>
                      <wp:extent cx="1733550" cy="441325"/>
                      <wp:effectExtent l="0" t="0" r="0" b="15875"/>
                      <wp:wrapNone/>
                      <wp:docPr id="8" name="直接连接符 7"/>
                      <wp:cNvGraphicFramePr/>
                      <a:graphic xmlns:a="http://schemas.openxmlformats.org/drawingml/2006/main">
                        <a:graphicData uri="http://schemas.microsoft.com/office/word/2010/wordprocessingShape">
                          <wps:wsp>
                            <wps:cNvCnPr/>
                            <wps:spPr>
                              <a:xfrm flipH="1" flipV="1">
                                <a:off x="0" y="0"/>
                                <a:ext cx="1733550" cy="4413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7" o:spid="_x0000_s1026" o:spt="20" style="position:absolute;left:0pt;flip:x y;margin-left:-20.25pt;margin-top:27.65pt;height:34.75pt;width:136.5pt;z-index:251661312;mso-width-relative:page;mso-height-relative:page;" filled="f" stroked="t" coordsize="21600,21600" o:allowincell="f" o:gfxdata="UEsDBAoAAAAAAIdO4kAAAAAAAAAAAAAAAAAEAAAAZHJzL1BLAwQUAAAACACHTuJAxTfAEdUAAAAK&#10;AQAADwAAAGRycy9kb3ducmV2LnhtbE2PwU7DMAyG70i8Q2QkblvSbmVVabrDpD3ABpp2zBrTViRO&#10;abJ1vD3mBEfbn/7/c729eyduOMUhkIZsqUAgtcEO1Gl4f9svShAxGbLGBUIN3xhh2zw+1KayYaYD&#10;3o6pExxCsTIa+pTGSsrY9uhNXIYRiW8fYfIm8Th10k5m5nDvZK7Ui/RmIG7ozYi7HtvP49VrcKUq&#10;v067zXw+WG7Zn1xPm0zr56dMvYJIeE9/MPzqszo07HQJV7JROA2LtSoY1VAUKxAM5KucFxcm83UJ&#10;sqnl/xeaH1BLAwQUAAAACACHTuJA6b8lbgECAAD/AwAADgAAAGRycy9lMm9Eb2MueG1srVNLjhMx&#10;EN0jcQfLe9L5TJihlc4sJgwsEETis3f8SVvyTy5POrkEF0BiB6tZsuc2zByDsruJhmGTBV5YVa7y&#10;q3rP5cXl3hqykxG0dw2djMaUSMe90G7b0I8frp9dUAKJOcGMd7KhBwn0cvn0yaILtZz61hshI0EQ&#10;B3UXGtqmFOqqAt5Ky2Dkg3QYVD5altCN20pE1iG6NdV0PH5edT6KED2XAHi66oN0QIynAHqlNJcr&#10;z2+sdKlHjdKwhJSg1QHosnSrlOTpnVIgEzENRaap7FgE7U3eq+WC1dvIQqv50AI7pYVHnCzTDose&#10;oVYsMXIT9T9QVvPowas04t5WPZGiCLKYjB9p875lQRYuKDWEo+jw/2D52906Ei0ais/umMUHv/vy&#10;49fnb/c/v+J+d/udnGeRugA15l65dRw8COuYGe9VtEQZHV7jNNFifcpWjiE/si9iH45iy30iHA8n&#10;57PZfI7vwDF2djaZTee5UNUj5tshQnolvSXZaKjRLovBarZ7A6lP/ZOSj40jXUNfzBGHcIaTqXAi&#10;0LQB2YHblrvgjRbX2ph8A+J2c2Ui2bE8HWUNLfyVlousGLR9XgnlNFa3komXTpB0CKibw+9CcwtW&#10;CkqMxN+VrZKZmDanZCJ74zK0LLM78Mzi93Jna+PFobxClT2ciyLaMMN58B76aD/8t8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TfAEdUAAAAKAQAADwAAAAAAAAABACAAAAAiAAAAZHJzL2Rvd25y&#10;ZXYueG1sUEsBAhQAFAAAAAgAh07iQOm/JW4BAgAA/wMAAA4AAAAAAAAAAQAgAAAAJAEAAGRycy9l&#10;Mm9Eb2MueG1sUEsFBgAAAAAGAAYAWQEAAJcFAAAAAA==&#10;">
                      <v:fill on="f" focussize="0,0"/>
                      <v:stroke color="#000000" joinstyle="round"/>
                      <v:imagedata o:title=""/>
                      <o:lock v:ext="edit" aspectratio="f"/>
                    </v:line>
                  </w:pict>
                </mc:Fallback>
              </mc:AlternateContent>
            </w:r>
            <w:r>
              <w:rPr>
                <w:rFonts w:asciiTheme="majorEastAsia" w:hAnsiTheme="majorEastAsia" w:eastAsiaTheme="majorEastAsia"/>
                <w:szCs w:val="21"/>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9"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5"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gYMO1+0BAADiAwAADgAAAGRycy9lMm9Eb2MueG1srVPNbhMx&#10;EL4j8Q6W72TToFSwyqaHhnJBEAl4gIntzVrynzxuNnkJXgCJG5w4cudtaB+DsXcbSnvJoXvwztgz&#10;38z3eby42FvDdiqi9q7hZ5MpZ8oJL7XbNvzzp6sXrzjDBE6C8U41/KCQXyyfP1v0oVYz33kjVWQE&#10;4rDuQ8O7lEJdVSg6ZQEnPihHh62PFhK5cVvJCD2hW1PNptPzqvdRhuiFQqTd1XDIR8R4CqBvWy3U&#10;yotrq1waUKMykIgSdjogX5Zu21aJ9KFtUSVmGk5MU1mpCNmbvFbLBdTbCKHTYmwBTmnhAScL2lHR&#10;I9QKErDrqB9BWS2iR9+mifC2GogURYjF2fSBNh87CKpwIakxHEXHp4MV73fryLRs+GvOHFi68Juv&#10;v/58+X77+xutNz9/sHkWqQ9YU+ylW8fRw7COmfG+jTb/iQvbF2EPR2HVPjFBm+cv55yJu/3qX1KI&#10;mN4qb1k2Gm60y3yhht07TFSIQu9C8rZxrKdO57MMBzR8LV06mTYQAXTbkoveaHmljckZGLebSxPZ&#10;DvIAlC/TIdz/wnKRFWA3xJWjYTQ6BfKNkywdAknj6EXw3IJVkjOj6AFliwChTqDNKZFU2ricoMp4&#10;jjyzvoOi2dp4eShCV9mjqy8dj2OaZ+u+T/b9p7n8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CBgw7X7QEAAOIDAAAOAAAAAAAAAAEAIAAAACQBAABkcnMvZTJvRG9jLnhtbFBLBQYAAAAABgAG&#10;AFkBAACDBQAAAAA=&#10;">
                      <v:fill on="f" focussize="0,0"/>
                      <v:stroke color="#000000" joinstyle="round"/>
                      <v:imagedata o:title=""/>
                      <o:lock v:ext="edit" aspectratio="f"/>
                    </v:line>
                  </w:pict>
                </mc:Fallback>
              </mc:AlternateContent>
            </w:r>
            <w:r>
              <w:rPr>
                <w:rFonts w:hint="eastAsia" w:asciiTheme="majorEastAsia" w:hAnsiTheme="majorEastAsia" w:eastAsiaTheme="majorEastAsia"/>
                <w:b/>
                <w:szCs w:val="21"/>
              </w:rPr>
              <w:t>服务类型</w:t>
            </w:r>
          </w:p>
          <w:p w14:paraId="2A04E35C">
            <w:pPr>
              <w:spacing w:line="360" w:lineRule="auto"/>
              <w:ind w:firstLine="873" w:firstLineChars="414"/>
              <w:rPr>
                <w:rFonts w:asciiTheme="majorEastAsia" w:hAnsiTheme="majorEastAsia" w:eastAsiaTheme="majorEastAsia"/>
                <w:b/>
                <w:szCs w:val="21"/>
              </w:rPr>
            </w:pPr>
            <w:r>
              <w:rPr>
                <w:rFonts w:hint="eastAsia" w:asciiTheme="majorEastAsia" w:hAnsiTheme="majorEastAsia" w:eastAsiaTheme="majorEastAsia"/>
                <w:b/>
                <w:szCs w:val="21"/>
              </w:rPr>
              <w:t>费率　　　　　</w:t>
            </w:r>
          </w:p>
          <w:p w14:paraId="0CED619C">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中标金额（万元）</w:t>
            </w:r>
          </w:p>
        </w:tc>
        <w:tc>
          <w:tcPr>
            <w:tcW w:w="2027" w:type="dxa"/>
            <w:vAlign w:val="center"/>
          </w:tcPr>
          <w:p w14:paraId="46FE9556">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货物招标</w:t>
            </w:r>
          </w:p>
        </w:tc>
        <w:tc>
          <w:tcPr>
            <w:tcW w:w="2158" w:type="dxa"/>
            <w:vAlign w:val="center"/>
          </w:tcPr>
          <w:p w14:paraId="0FFDA081">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服务招标</w:t>
            </w:r>
          </w:p>
        </w:tc>
        <w:tc>
          <w:tcPr>
            <w:tcW w:w="2158" w:type="dxa"/>
            <w:vAlign w:val="center"/>
          </w:tcPr>
          <w:p w14:paraId="6CE1CB08">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工程招标</w:t>
            </w:r>
          </w:p>
        </w:tc>
      </w:tr>
      <w:tr w14:paraId="046F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354881B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以下</w:t>
            </w:r>
          </w:p>
        </w:tc>
        <w:tc>
          <w:tcPr>
            <w:tcW w:w="2027" w:type="dxa"/>
            <w:vAlign w:val="center"/>
          </w:tcPr>
          <w:p w14:paraId="43735076">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61AA59B6">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43FC47F2">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1.000%</w:t>
            </w:r>
          </w:p>
        </w:tc>
      </w:tr>
      <w:tr w14:paraId="5A7C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170570C7">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w:t>
            </w:r>
            <w:r>
              <w:rPr>
                <w:rFonts w:asciiTheme="majorEastAsia" w:hAnsiTheme="majorEastAsia" w:eastAsiaTheme="majorEastAsia"/>
                <w:szCs w:val="21"/>
              </w:rPr>
              <w:t>500</w:t>
            </w:r>
          </w:p>
        </w:tc>
        <w:tc>
          <w:tcPr>
            <w:tcW w:w="2027" w:type="dxa"/>
            <w:vAlign w:val="center"/>
          </w:tcPr>
          <w:p w14:paraId="23C9C2D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1.100%</w:t>
            </w:r>
          </w:p>
        </w:tc>
        <w:tc>
          <w:tcPr>
            <w:tcW w:w="2158" w:type="dxa"/>
            <w:vAlign w:val="center"/>
          </w:tcPr>
          <w:p w14:paraId="2BD62F7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40E152EE">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0.700%</w:t>
            </w:r>
          </w:p>
        </w:tc>
      </w:tr>
      <w:tr w14:paraId="1CFF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6D5FADE0">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000</w:t>
            </w:r>
          </w:p>
        </w:tc>
        <w:tc>
          <w:tcPr>
            <w:tcW w:w="2027" w:type="dxa"/>
            <w:vAlign w:val="center"/>
          </w:tcPr>
          <w:p w14:paraId="7CCF266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438422E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0.450%</w:t>
            </w:r>
          </w:p>
        </w:tc>
        <w:tc>
          <w:tcPr>
            <w:tcW w:w="2158" w:type="dxa"/>
            <w:vAlign w:val="center"/>
          </w:tcPr>
          <w:p w14:paraId="533FA715">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0.550%</w:t>
            </w:r>
          </w:p>
        </w:tc>
      </w:tr>
      <w:tr w14:paraId="29CB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68DAC008">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w:t>
            </w:r>
            <w:r>
              <w:rPr>
                <w:rFonts w:asciiTheme="majorEastAsia" w:hAnsiTheme="majorEastAsia" w:eastAsiaTheme="majorEastAsia"/>
                <w:szCs w:val="21"/>
              </w:rPr>
              <w:t>5</w:t>
            </w:r>
            <w:r>
              <w:rPr>
                <w:rFonts w:hint="eastAsia" w:asciiTheme="majorEastAsia" w:hAnsiTheme="majorEastAsia" w:eastAsiaTheme="majorEastAsia"/>
                <w:szCs w:val="21"/>
              </w:rPr>
              <w:t>000</w:t>
            </w:r>
          </w:p>
        </w:tc>
        <w:tc>
          <w:tcPr>
            <w:tcW w:w="2027" w:type="dxa"/>
            <w:vAlign w:val="center"/>
          </w:tcPr>
          <w:p w14:paraId="7F2BD91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0.500%</w:t>
            </w:r>
          </w:p>
        </w:tc>
        <w:tc>
          <w:tcPr>
            <w:tcW w:w="2158" w:type="dxa"/>
            <w:vAlign w:val="center"/>
          </w:tcPr>
          <w:p w14:paraId="22AA75E0">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3B07F01E">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0.350%</w:t>
            </w:r>
          </w:p>
        </w:tc>
      </w:tr>
      <w:tr w14:paraId="59E2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308A71C8">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w:t>
            </w:r>
            <w:r>
              <w:rPr>
                <w:rFonts w:asciiTheme="majorEastAsia" w:hAnsiTheme="majorEastAsia" w:eastAsiaTheme="majorEastAsia"/>
                <w:szCs w:val="21"/>
              </w:rPr>
              <w:t>1</w:t>
            </w:r>
            <w:r>
              <w:rPr>
                <w:rFonts w:hint="eastAsia" w:asciiTheme="majorEastAsia" w:hAnsiTheme="majorEastAsia" w:eastAsiaTheme="majorEastAsia"/>
                <w:szCs w:val="21"/>
              </w:rPr>
              <w:t>0000</w:t>
            </w:r>
          </w:p>
        </w:tc>
        <w:tc>
          <w:tcPr>
            <w:tcW w:w="2027" w:type="dxa"/>
            <w:vAlign w:val="center"/>
          </w:tcPr>
          <w:p w14:paraId="79E1153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60777A4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0.100%</w:t>
            </w:r>
          </w:p>
        </w:tc>
        <w:tc>
          <w:tcPr>
            <w:tcW w:w="2158" w:type="dxa"/>
            <w:vAlign w:val="center"/>
          </w:tcPr>
          <w:p w14:paraId="4853131E">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0.200%</w:t>
            </w:r>
          </w:p>
        </w:tc>
      </w:tr>
      <w:tr w14:paraId="19A7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02" w:type="dxa"/>
            <w:vAlign w:val="center"/>
          </w:tcPr>
          <w:p w14:paraId="49AD684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0000～</w:t>
            </w:r>
            <w:r>
              <w:rPr>
                <w:rFonts w:asciiTheme="majorEastAsia" w:hAnsiTheme="majorEastAsia" w:eastAsiaTheme="majorEastAsia"/>
                <w:szCs w:val="21"/>
              </w:rPr>
              <w:t>5</w:t>
            </w:r>
            <w:r>
              <w:rPr>
                <w:rFonts w:hint="eastAsia" w:asciiTheme="majorEastAsia" w:hAnsiTheme="majorEastAsia" w:eastAsiaTheme="majorEastAsia"/>
                <w:szCs w:val="21"/>
              </w:rPr>
              <w:t>0000</w:t>
            </w:r>
          </w:p>
        </w:tc>
        <w:tc>
          <w:tcPr>
            <w:tcW w:w="2027" w:type="dxa"/>
            <w:vAlign w:val="center"/>
          </w:tcPr>
          <w:p w14:paraId="30970FA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66417716">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79DF9483">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0.050%</w:t>
            </w:r>
          </w:p>
        </w:tc>
      </w:tr>
      <w:tr w14:paraId="2F8A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38571B86">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0000～</w:t>
            </w:r>
            <w:r>
              <w:rPr>
                <w:rFonts w:asciiTheme="majorEastAsia" w:hAnsiTheme="majorEastAsia" w:eastAsiaTheme="majorEastAsia"/>
                <w:szCs w:val="21"/>
              </w:rPr>
              <w:t>10</w:t>
            </w:r>
            <w:r>
              <w:rPr>
                <w:rFonts w:hint="eastAsia" w:asciiTheme="majorEastAsia" w:hAnsiTheme="majorEastAsia" w:eastAsiaTheme="majorEastAsia"/>
                <w:szCs w:val="21"/>
              </w:rPr>
              <w:t>0000</w:t>
            </w:r>
          </w:p>
        </w:tc>
        <w:tc>
          <w:tcPr>
            <w:tcW w:w="2027" w:type="dxa"/>
            <w:vAlign w:val="center"/>
          </w:tcPr>
          <w:p w14:paraId="08FF5397">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00FECD7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6A47B437">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0.035%</w:t>
            </w:r>
          </w:p>
        </w:tc>
      </w:tr>
      <w:tr w14:paraId="601D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2D2ED40E">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0000～</w:t>
            </w:r>
            <w:r>
              <w:rPr>
                <w:rFonts w:asciiTheme="majorEastAsia" w:hAnsiTheme="majorEastAsia" w:eastAsiaTheme="majorEastAsia"/>
                <w:szCs w:val="21"/>
              </w:rPr>
              <w:t>50</w:t>
            </w:r>
            <w:r>
              <w:rPr>
                <w:rFonts w:hint="eastAsia" w:asciiTheme="majorEastAsia" w:hAnsiTheme="majorEastAsia" w:eastAsiaTheme="majorEastAsia"/>
                <w:szCs w:val="21"/>
              </w:rPr>
              <w:t>0000</w:t>
            </w:r>
          </w:p>
        </w:tc>
        <w:tc>
          <w:tcPr>
            <w:tcW w:w="2027" w:type="dxa"/>
            <w:vAlign w:val="center"/>
          </w:tcPr>
          <w:p w14:paraId="40DF65A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1438AF67">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6D970634">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0.008%</w:t>
            </w:r>
          </w:p>
        </w:tc>
      </w:tr>
      <w:tr w14:paraId="714D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663A42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w:t>
            </w:r>
            <w:r>
              <w:rPr>
                <w:rFonts w:hint="eastAsia" w:asciiTheme="majorEastAsia" w:hAnsiTheme="majorEastAsia" w:eastAsiaTheme="majorEastAsia"/>
                <w:szCs w:val="21"/>
              </w:rPr>
              <w:t>0000～</w:t>
            </w:r>
            <w:r>
              <w:rPr>
                <w:rFonts w:asciiTheme="majorEastAsia" w:hAnsiTheme="majorEastAsia" w:eastAsiaTheme="majorEastAsia"/>
                <w:szCs w:val="21"/>
              </w:rPr>
              <w:t>100</w:t>
            </w:r>
            <w:r>
              <w:rPr>
                <w:rFonts w:hint="eastAsia" w:asciiTheme="majorEastAsia" w:hAnsiTheme="majorEastAsia" w:eastAsiaTheme="majorEastAsia"/>
                <w:szCs w:val="21"/>
              </w:rPr>
              <w:t>0000</w:t>
            </w:r>
          </w:p>
        </w:tc>
        <w:tc>
          <w:tcPr>
            <w:tcW w:w="2027" w:type="dxa"/>
            <w:vAlign w:val="center"/>
          </w:tcPr>
          <w:p w14:paraId="67BB2C77">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55A04F7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3A342031">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0.006%</w:t>
            </w:r>
          </w:p>
        </w:tc>
      </w:tr>
      <w:tr w14:paraId="2689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vAlign w:val="center"/>
          </w:tcPr>
          <w:p w14:paraId="1F5CE767">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0000以上</w:t>
            </w:r>
          </w:p>
        </w:tc>
        <w:tc>
          <w:tcPr>
            <w:tcW w:w="2027" w:type="dxa"/>
            <w:vAlign w:val="center"/>
          </w:tcPr>
          <w:p w14:paraId="653A4697">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592E6BD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617E5723">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0.004%</w:t>
            </w:r>
          </w:p>
        </w:tc>
      </w:tr>
    </w:tbl>
    <w:p w14:paraId="353BA604">
      <w:pPr>
        <w:spacing w:line="360" w:lineRule="auto"/>
        <w:ind w:firstLine="411" w:firstLineChars="196"/>
        <w:rPr>
          <w:rFonts w:asciiTheme="majorEastAsia" w:hAnsiTheme="majorEastAsia" w:eastAsiaTheme="majorEastAsia"/>
          <w:szCs w:val="21"/>
        </w:rPr>
      </w:pPr>
    </w:p>
    <w:bookmarkEnd w:id="55"/>
    <w:p w14:paraId="1C3DFBF2">
      <w:pPr>
        <w:pStyle w:val="5"/>
        <w:widowControl/>
        <w:numPr>
          <w:ilvl w:val="0"/>
          <w:numId w:val="7"/>
        </w:numPr>
        <w:spacing w:before="120" w:beforeLines="50" w:after="12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公开招标失败的后续处理</w:t>
      </w:r>
    </w:p>
    <w:p w14:paraId="410FE02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42．公开招标失败的处理</w:t>
      </w:r>
    </w:p>
    <w:p w14:paraId="71BF2E0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42.1本项目公开招标过程中若由于投标截止后实际递交</w:t>
      </w:r>
      <w:r>
        <w:rPr>
          <w:rFonts w:asciiTheme="majorEastAsia" w:hAnsiTheme="majorEastAsia" w:eastAsiaTheme="majorEastAsia"/>
          <w:szCs w:val="21"/>
        </w:rPr>
        <w:t>投标</w:t>
      </w:r>
      <w:r>
        <w:rPr>
          <w:rFonts w:hint="eastAsia" w:asciiTheme="majorEastAsia" w:hAnsiTheme="majorEastAsia" w:eastAsiaTheme="majorEastAsia"/>
          <w:szCs w:val="21"/>
        </w:rPr>
        <w:t>文件的供应商数量不足、经评审委员会评审对招标文件作实质响应的供应商不足等原因造成公开招标失败，可由</w:t>
      </w:r>
      <w:r>
        <w:rPr>
          <w:rFonts w:hint="eastAsia" w:cs="宋体" w:asciiTheme="majorEastAsia" w:hAnsiTheme="majorEastAsia" w:eastAsiaTheme="majorEastAsia"/>
          <w:szCs w:val="21"/>
        </w:rPr>
        <w:t>采购代理机构</w:t>
      </w:r>
      <w:r>
        <w:rPr>
          <w:rFonts w:hint="eastAsia" w:asciiTheme="majorEastAsia" w:hAnsiTheme="majorEastAsia" w:eastAsiaTheme="majorEastAsia"/>
          <w:szCs w:val="21"/>
        </w:rPr>
        <w:t>重新组织采购。</w:t>
      </w:r>
    </w:p>
    <w:p w14:paraId="5882ED6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42.2对公开招标失败的项目，评审委员会在出具该项目招标失败结论的同时，可以提出重新采购组织形式的建议，以及进一步完善招标文件的资格、技术、商务要求的修改建议。</w:t>
      </w:r>
    </w:p>
    <w:p w14:paraId="077492A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42.3重新组织采购有以下两种组织形式：</w:t>
      </w:r>
    </w:p>
    <w:p w14:paraId="4D97848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（1）由采购代理机构重新组织公开招标；</w:t>
      </w:r>
    </w:p>
    <w:p w14:paraId="6CE3A00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（2）根据实际情况需要向同级财政部门提出非公开招标方式申请的，经同级财政部门批准，公开招标失败采购项目可转为竞争性谈判或单一来源谈判方式采购。</w:t>
      </w:r>
    </w:p>
    <w:p w14:paraId="37AD6A6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42.4公开招标失败的采购项目重新组织公开招标，由采购代理机构重新按公开招标流程组织采购活动。</w:t>
      </w:r>
    </w:p>
    <w:p w14:paraId="20BC741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42.5公开招标失败的采购项目经同级财政部门批准转为竞争性谈判或单一来源谈判方式采购的，按规定要求组织政府采购工作。</w:t>
      </w:r>
    </w:p>
    <w:p w14:paraId="6BA1DCBE">
      <w:pPr>
        <w:pStyle w:val="5"/>
        <w:widowControl/>
        <w:numPr>
          <w:ilvl w:val="0"/>
          <w:numId w:val="7"/>
        </w:numPr>
        <w:spacing w:before="120" w:beforeLines="50" w:after="120" w:afterLines="50" w:line="360" w:lineRule="auto"/>
        <w:ind w:left="562" w:hanging="562"/>
        <w:rPr>
          <w:rFonts w:asciiTheme="majorEastAsia" w:hAnsiTheme="majorEastAsia" w:eastAsiaTheme="majorEastAsia"/>
          <w:sz w:val="28"/>
          <w:szCs w:val="28"/>
        </w:rPr>
      </w:pPr>
      <w:bookmarkStart w:id="56" w:name="_Hlk72439043"/>
      <w:r>
        <w:rPr>
          <w:rFonts w:hint="eastAsia" w:asciiTheme="majorEastAsia" w:hAnsiTheme="majorEastAsia" w:eastAsiaTheme="majorEastAsia"/>
          <w:sz w:val="28"/>
          <w:szCs w:val="28"/>
        </w:rPr>
        <w:t>合同的授予与备案</w:t>
      </w:r>
      <w:bookmarkEnd w:id="56"/>
    </w:p>
    <w:p w14:paraId="088C4352">
      <w:pPr>
        <w:spacing w:line="360" w:lineRule="auto"/>
        <w:rPr>
          <w:rFonts w:asciiTheme="majorEastAsia" w:hAnsiTheme="majorEastAsia" w:eastAsiaTheme="majorEastAsia"/>
          <w:b/>
          <w:bCs/>
          <w:szCs w:val="21"/>
        </w:rPr>
      </w:pPr>
      <w:bookmarkStart w:id="57" w:name="_Toc73518157"/>
      <w:bookmarkStart w:id="58" w:name="_Toc73521586"/>
      <w:bookmarkStart w:id="59" w:name="_Toc73517679"/>
      <w:bookmarkStart w:id="60" w:name="_Toc73521674"/>
      <w:bookmarkStart w:id="61" w:name="_Toc100052408"/>
      <w:bookmarkStart w:id="62" w:name="_Hlk72439088"/>
      <w:r>
        <w:rPr>
          <w:rFonts w:hint="eastAsia" w:asciiTheme="majorEastAsia" w:hAnsiTheme="majorEastAsia" w:eastAsiaTheme="majorEastAsia"/>
          <w:b/>
          <w:bCs/>
          <w:szCs w:val="21"/>
        </w:rPr>
        <w:t>43．合同授予标准</w:t>
      </w:r>
      <w:bookmarkEnd w:id="57"/>
      <w:bookmarkEnd w:id="58"/>
      <w:bookmarkEnd w:id="59"/>
      <w:bookmarkEnd w:id="60"/>
      <w:bookmarkEnd w:id="61"/>
    </w:p>
    <w:p w14:paraId="149659E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本项目的合同将授予经本招标文件规定评审确定的中标供应商。</w:t>
      </w:r>
    </w:p>
    <w:p w14:paraId="4098E3BA">
      <w:pPr>
        <w:spacing w:line="360" w:lineRule="auto"/>
        <w:rPr>
          <w:rFonts w:asciiTheme="majorEastAsia" w:hAnsiTheme="majorEastAsia" w:eastAsiaTheme="majorEastAsia"/>
          <w:b/>
          <w:bCs/>
          <w:szCs w:val="21"/>
        </w:rPr>
      </w:pPr>
      <w:bookmarkStart w:id="63" w:name="_Toc73521587"/>
      <w:bookmarkStart w:id="64" w:name="_Toc73517680"/>
      <w:bookmarkStart w:id="65" w:name="_Toc100052409"/>
      <w:bookmarkStart w:id="66" w:name="_Toc73521675"/>
      <w:bookmarkStart w:id="67" w:name="_Toc73518158"/>
      <w:r>
        <w:rPr>
          <w:rFonts w:hint="eastAsia" w:asciiTheme="majorEastAsia" w:hAnsiTheme="majorEastAsia" w:eastAsiaTheme="majorEastAsia"/>
          <w:b/>
          <w:bCs/>
          <w:szCs w:val="21"/>
        </w:rPr>
        <w:t>44．</w:t>
      </w:r>
      <w:bookmarkEnd w:id="63"/>
      <w:bookmarkEnd w:id="64"/>
      <w:bookmarkEnd w:id="65"/>
      <w:bookmarkEnd w:id="66"/>
      <w:bookmarkEnd w:id="67"/>
      <w:r>
        <w:rPr>
          <w:rFonts w:hint="eastAsia" w:asciiTheme="majorEastAsia" w:hAnsiTheme="majorEastAsia" w:eastAsiaTheme="majorEastAsia"/>
          <w:b/>
          <w:bCs/>
          <w:szCs w:val="21"/>
        </w:rPr>
        <w:t>接受和拒绝任何或所有投标的权力</w:t>
      </w:r>
    </w:p>
    <w:p w14:paraId="445D0BC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452BA0E2">
      <w:pPr>
        <w:spacing w:line="360" w:lineRule="auto"/>
        <w:rPr>
          <w:rFonts w:asciiTheme="majorEastAsia" w:hAnsiTheme="majorEastAsia" w:eastAsiaTheme="majorEastAsia"/>
          <w:b/>
          <w:bCs/>
          <w:szCs w:val="21"/>
        </w:rPr>
      </w:pPr>
      <w:bookmarkStart w:id="68" w:name="_Toc73518160"/>
      <w:bookmarkStart w:id="69" w:name="_Toc73517682"/>
      <w:bookmarkStart w:id="70" w:name="_Toc100052410"/>
      <w:bookmarkStart w:id="71" w:name="_Toc73521589"/>
      <w:bookmarkStart w:id="72" w:name="_Toc73521677"/>
      <w:r>
        <w:rPr>
          <w:rFonts w:hint="eastAsia" w:asciiTheme="majorEastAsia" w:hAnsiTheme="majorEastAsia" w:eastAsiaTheme="majorEastAsia"/>
          <w:b/>
          <w:bCs/>
          <w:szCs w:val="21"/>
        </w:rPr>
        <w:t>45．合同的签订</w:t>
      </w:r>
      <w:bookmarkEnd w:id="68"/>
      <w:bookmarkEnd w:id="69"/>
      <w:bookmarkEnd w:id="70"/>
      <w:bookmarkEnd w:id="71"/>
      <w:bookmarkEnd w:id="72"/>
    </w:p>
    <w:p w14:paraId="32FD801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45.1中标人将于中标通知书发出之日起十个工作日内，按照采购文件（招标文件和投标文件等）内容与采购人签订政府采购合同；合同的实质性内容应当符合招标文件的规定；</w:t>
      </w:r>
    </w:p>
    <w:p w14:paraId="1947FBE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45.2中标人如不按本通用条款第45</w:t>
      </w:r>
      <w:r>
        <w:rPr>
          <w:rFonts w:asciiTheme="majorEastAsia" w:hAnsiTheme="majorEastAsia" w:eastAsiaTheme="majorEastAsia"/>
          <w:szCs w:val="21"/>
        </w:rPr>
        <w:t>.1</w:t>
      </w:r>
      <w:r>
        <w:rPr>
          <w:rFonts w:hint="eastAsia" w:asciiTheme="majorEastAsia" w:hAnsiTheme="majorEastAsia" w:eastAsiaTheme="majorEastAsia"/>
          <w:szCs w:val="21"/>
        </w:rPr>
        <w:t>款的规定与采购人签订合同，</w:t>
      </w:r>
      <w:r>
        <w:rPr>
          <w:rFonts w:cs="宋体" w:asciiTheme="majorEastAsia" w:hAnsiTheme="majorEastAsia" w:eastAsiaTheme="majorEastAsia"/>
          <w:szCs w:val="21"/>
        </w:rPr>
        <w:t>情节严重的，由</w:t>
      </w:r>
      <w:r>
        <w:rPr>
          <w:rFonts w:hint="eastAsia" w:cs="宋体" w:asciiTheme="majorEastAsia" w:hAnsiTheme="majorEastAsia" w:eastAsiaTheme="majorEastAsia"/>
          <w:szCs w:val="21"/>
        </w:rPr>
        <w:t>同级财政</w:t>
      </w:r>
      <w:r>
        <w:rPr>
          <w:rFonts w:cs="宋体" w:asciiTheme="majorEastAsia" w:hAnsiTheme="majorEastAsia" w:eastAsiaTheme="majorEastAsia"/>
          <w:szCs w:val="21"/>
        </w:rPr>
        <w:t>部门记入供应商诚信档案，予以通报</w:t>
      </w:r>
      <w:r>
        <w:rPr>
          <w:rFonts w:hint="eastAsia" w:asciiTheme="majorEastAsia" w:hAnsiTheme="majorEastAsia" w:eastAsiaTheme="majorEastAsia"/>
          <w:szCs w:val="21"/>
        </w:rPr>
        <w:t>；</w:t>
      </w:r>
    </w:p>
    <w:p w14:paraId="165BF50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45.3中标人应当按照合同约定履行义务，完成中标项目，不得将中标项目转让（转包）给他人。</w:t>
      </w:r>
    </w:p>
    <w:p w14:paraId="0A14C7F5">
      <w:pPr>
        <w:spacing w:line="360" w:lineRule="auto"/>
        <w:rPr>
          <w:rFonts w:asciiTheme="majorEastAsia" w:hAnsiTheme="majorEastAsia" w:eastAsiaTheme="majorEastAsia"/>
          <w:b/>
          <w:bCs/>
          <w:szCs w:val="21"/>
        </w:rPr>
      </w:pPr>
      <w:bookmarkStart w:id="73" w:name="_Toc100052411"/>
      <w:bookmarkStart w:id="74" w:name="_Toc73517683"/>
      <w:bookmarkStart w:id="75" w:name="_Toc73521678"/>
      <w:bookmarkStart w:id="76" w:name="_Toc73521590"/>
      <w:bookmarkStart w:id="77" w:name="_Toc73518161"/>
      <w:r>
        <w:rPr>
          <w:rFonts w:hint="eastAsia" w:asciiTheme="majorEastAsia" w:hAnsiTheme="majorEastAsia" w:eastAsiaTheme="majorEastAsia"/>
          <w:b/>
          <w:bCs/>
          <w:szCs w:val="21"/>
        </w:rPr>
        <w:t>46．履约担保</w:t>
      </w:r>
      <w:bookmarkEnd w:id="73"/>
      <w:bookmarkEnd w:id="74"/>
      <w:bookmarkEnd w:id="75"/>
      <w:bookmarkEnd w:id="76"/>
      <w:bookmarkEnd w:id="77"/>
    </w:p>
    <w:p w14:paraId="7E30AA9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46.1在签订项目合同的同时，中标人应按“对通用条款的补充内容”中规定的金额向采购人提交履约担保；</w:t>
      </w:r>
    </w:p>
    <w:p w14:paraId="5852CA2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46.2，允许供应商自主选择以支票、汇票、本票、保函等非现金方式提交履约担保；</w:t>
      </w:r>
      <w:r>
        <w:rPr>
          <w:rFonts w:asciiTheme="majorEastAsia" w:hAnsiTheme="majorEastAsia" w:eastAsiaTheme="majorEastAsia"/>
          <w:szCs w:val="21"/>
        </w:rPr>
        <w:t>中标</w:t>
      </w:r>
      <w:r>
        <w:rPr>
          <w:rFonts w:hint="eastAsia" w:asciiTheme="majorEastAsia" w:hAnsiTheme="majorEastAsia" w:eastAsiaTheme="majorEastAsia"/>
          <w:szCs w:val="21"/>
        </w:rPr>
        <w:t>人</w:t>
      </w:r>
      <w:r>
        <w:rPr>
          <w:rFonts w:asciiTheme="majorEastAsia" w:hAnsiTheme="majorEastAsia" w:eastAsiaTheme="majorEastAsia"/>
          <w:szCs w:val="21"/>
        </w:rPr>
        <w:t>提交履约</w:t>
      </w:r>
      <w:r>
        <w:rPr>
          <w:rFonts w:hint="eastAsia" w:asciiTheme="majorEastAsia" w:hAnsiTheme="majorEastAsia" w:eastAsiaTheme="majorEastAsia"/>
          <w:szCs w:val="21"/>
        </w:rPr>
        <w:t>担保不是</w:t>
      </w:r>
      <w:r>
        <w:rPr>
          <w:rFonts w:asciiTheme="majorEastAsia" w:hAnsiTheme="majorEastAsia" w:eastAsiaTheme="majorEastAsia"/>
          <w:szCs w:val="21"/>
        </w:rPr>
        <w:t>合同签订的</w:t>
      </w:r>
      <w:r>
        <w:rPr>
          <w:rFonts w:hint="eastAsia" w:asciiTheme="majorEastAsia" w:hAnsiTheme="majorEastAsia" w:eastAsiaTheme="majorEastAsia"/>
          <w:szCs w:val="21"/>
        </w:rPr>
        <w:t>前提</w:t>
      </w:r>
      <w:r>
        <w:rPr>
          <w:rFonts w:asciiTheme="majorEastAsia" w:hAnsiTheme="majorEastAsia" w:eastAsiaTheme="majorEastAsia"/>
          <w:szCs w:val="21"/>
        </w:rPr>
        <w:t>条件，不要求中标</w:t>
      </w:r>
      <w:r>
        <w:rPr>
          <w:rFonts w:hint="eastAsia" w:asciiTheme="majorEastAsia" w:hAnsiTheme="majorEastAsia" w:eastAsiaTheme="majorEastAsia"/>
          <w:szCs w:val="21"/>
        </w:rPr>
        <w:t>人</w:t>
      </w:r>
      <w:r>
        <w:rPr>
          <w:rFonts w:asciiTheme="majorEastAsia" w:hAnsiTheme="majorEastAsia" w:eastAsiaTheme="majorEastAsia"/>
          <w:szCs w:val="21"/>
        </w:rPr>
        <w:t>提供除法律、法规明确规定外的其他担保</w:t>
      </w:r>
      <w:r>
        <w:rPr>
          <w:rFonts w:hint="eastAsia" w:asciiTheme="majorEastAsia" w:hAnsiTheme="majorEastAsia" w:eastAsiaTheme="majorEastAsia"/>
          <w:szCs w:val="21"/>
        </w:rPr>
        <w:t>。</w:t>
      </w:r>
    </w:p>
    <w:p w14:paraId="30F2636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47. 合同备案</w:t>
      </w:r>
    </w:p>
    <w:p w14:paraId="45A103A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采购人与中标人应于合同签订之日起十日内，由采购人或委托中标人将采购合同副本抄送合同备案工作实施机构备案。</w:t>
      </w:r>
    </w:p>
    <w:p w14:paraId="51B12F4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48. 合同变更</w:t>
      </w:r>
    </w:p>
    <w:p w14:paraId="419E8C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合同变更事宜按《深圳市财政局 深圳市政府采购中心关于进一步加强市本级政府采购合同备案管理工作的通知》（深财购〔2019〕43号）相关规定执行。</w:t>
      </w:r>
    </w:p>
    <w:p w14:paraId="665E960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49. 项目验收</w:t>
      </w:r>
    </w:p>
    <w:p w14:paraId="445CD9F5">
      <w:pPr>
        <w:spacing w:line="360" w:lineRule="auto"/>
        <w:ind w:right="176" w:firstLine="420"/>
        <w:rPr>
          <w:rFonts w:asciiTheme="majorEastAsia" w:hAnsiTheme="majorEastAsia" w:eastAsiaTheme="majorEastAsia"/>
          <w:szCs w:val="21"/>
        </w:rPr>
      </w:pPr>
      <w:r>
        <w:rPr>
          <w:rFonts w:hint="eastAsia" w:asciiTheme="majorEastAsia" w:hAnsiTheme="majorEastAsia" w:eastAsiaTheme="majorEastAsia"/>
          <w:szCs w:val="21"/>
        </w:rPr>
        <w:t>49.1采购人应当按照招标文件和合同规定的标准和方法，及时组织验收。</w:t>
      </w:r>
    </w:p>
    <w:p w14:paraId="1BFEFA5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50. 宣传</w:t>
      </w:r>
    </w:p>
    <w:p w14:paraId="53E90C1C">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凡与政府采购活动有关的宣传或广告，若当中提及政府采购，</w:t>
      </w:r>
      <w:r>
        <w:rPr>
          <w:rFonts w:asciiTheme="majorEastAsia" w:hAnsiTheme="majorEastAsia" w:eastAsiaTheme="majorEastAsia"/>
          <w:szCs w:val="21"/>
        </w:rPr>
        <w:t>必须事先将具体对外宣传方案报</w:t>
      </w:r>
      <w:r>
        <w:rPr>
          <w:rFonts w:hint="eastAsia" w:asciiTheme="majorEastAsia" w:hAnsiTheme="majorEastAsia" w:eastAsiaTheme="majorEastAsia"/>
          <w:szCs w:val="21"/>
        </w:rPr>
        <w:t>同级财政部门</w:t>
      </w:r>
      <w:r>
        <w:rPr>
          <w:rFonts w:asciiTheme="majorEastAsia" w:hAnsiTheme="majorEastAsia" w:eastAsiaTheme="majorEastAsia"/>
          <w:szCs w:val="21"/>
        </w:rPr>
        <w:t>和</w:t>
      </w:r>
      <w:r>
        <w:rPr>
          <w:rFonts w:hint="eastAsia" w:asciiTheme="majorEastAsia" w:hAnsiTheme="majorEastAsia" w:eastAsiaTheme="majorEastAsia"/>
          <w:szCs w:val="21"/>
        </w:rPr>
        <w:t>采购代理机构</w:t>
      </w:r>
      <w:r>
        <w:rPr>
          <w:rFonts w:asciiTheme="majorEastAsia" w:hAnsiTheme="majorEastAsia" w:eastAsiaTheme="majorEastAsia"/>
          <w:szCs w:val="21"/>
        </w:rPr>
        <w:t>，并征得其同意。对外市场宣传包括但不限于以下形式：</w:t>
      </w:r>
    </w:p>
    <w:p w14:paraId="15774DB7">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a.名片、宣传册、广告标语等；</w:t>
      </w:r>
    </w:p>
    <w:p w14:paraId="42723D05">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b.案例介绍、推广等；</w:t>
      </w:r>
    </w:p>
    <w:p w14:paraId="6098F52F">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c.工作</w:t>
      </w:r>
      <w:r>
        <w:rPr>
          <w:rFonts w:asciiTheme="majorEastAsia" w:hAnsiTheme="majorEastAsia" w:eastAsiaTheme="majorEastAsia"/>
          <w:szCs w:val="21"/>
        </w:rPr>
        <w:t>人员向其他消费群体宣传。</w:t>
      </w:r>
    </w:p>
    <w:p w14:paraId="0F13BAD2">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51. 供应商违法责任</w:t>
      </w:r>
    </w:p>
    <w:p w14:paraId="579308E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1.1</w:t>
      </w:r>
      <w:r>
        <w:rPr>
          <w:rFonts w:hint="eastAsia" w:asciiTheme="majorEastAsia" w:hAnsiTheme="majorEastAsia" w:eastAsiaTheme="major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881577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（1）在采购活动中应当回避而未回避的；</w:t>
      </w:r>
    </w:p>
    <w:p w14:paraId="134FA6E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（2）未按本条例规定签订、履行采购合同，造成严重后果的；</w:t>
      </w:r>
    </w:p>
    <w:p w14:paraId="0BC8C84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（3）隐瞒真实情况，提供虚假资料的；</w:t>
      </w:r>
    </w:p>
    <w:p w14:paraId="6C15583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（4）以非法手段排斥其他供应商参与竞争的；</w:t>
      </w:r>
    </w:p>
    <w:p w14:paraId="557ABB2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（5）与其他采购参加人串通投标的；</w:t>
      </w:r>
    </w:p>
    <w:p w14:paraId="2A95D01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（6）恶意投诉的；</w:t>
      </w:r>
    </w:p>
    <w:p w14:paraId="536AA67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（7）向采购项目相关人行贿或者提供其他不当利益的；</w:t>
      </w:r>
    </w:p>
    <w:p w14:paraId="04F2DB4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（8）阻碍、抗拒主管部门监督检查的；</w:t>
      </w:r>
    </w:p>
    <w:p w14:paraId="148A403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（9）其他违反本条例规定的行为。</w:t>
      </w:r>
    </w:p>
    <w:p w14:paraId="3506308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 xml:space="preserve">1.2 </w:t>
      </w:r>
      <w:r>
        <w:rPr>
          <w:rFonts w:hint="eastAsia" w:asciiTheme="majorEastAsia" w:hAnsiTheme="majorEastAsia" w:eastAsiaTheme="majorEastAsia"/>
          <w:szCs w:val="21"/>
        </w:rPr>
        <w:t>根据《深圳市财政局关于明确政府采购保证金管理工作的通知》（深财购[2019]42号）的要求，供应商在政府采购活动中出现《深圳经济特区政府采购条例实施细则》第八十四条所列情形的，</w:t>
      </w:r>
      <w:bookmarkStart w:id="78" w:name="_Hlk72440769"/>
      <w:r>
        <w:rPr>
          <w:rFonts w:hint="eastAsia" w:asciiTheme="majorEastAsia" w:hAnsiTheme="majorEastAsia" w:eastAsiaTheme="majorEastAsia"/>
          <w:szCs w:val="21"/>
        </w:rPr>
        <w:t>采购人或采购代理机构</w:t>
      </w:r>
      <w:bookmarkEnd w:id="78"/>
      <w:r>
        <w:rPr>
          <w:rFonts w:hint="eastAsia" w:asciiTheme="majorEastAsia" w:hAnsiTheme="majorEastAsia" w:eastAsiaTheme="majorEastAsia"/>
          <w:szCs w:val="21"/>
        </w:rPr>
        <w:t>可将有关情况报同级财政部门，由财政部门根据实际情况记入供应商诚信档案，予以通报：</w:t>
      </w:r>
    </w:p>
    <w:p w14:paraId="5E9192B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）投标截止后，撤销投标的；</w:t>
      </w:r>
    </w:p>
    <w:p w14:paraId="3BE4AC13">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）中标后无正当理由未在规定期限内签订合同的；</w:t>
      </w:r>
    </w:p>
    <w:p w14:paraId="51AB7A4D">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3</w:t>
      </w:r>
      <w:r>
        <w:rPr>
          <w:rFonts w:asciiTheme="majorEastAsia" w:hAnsiTheme="majorEastAsia" w:eastAsiaTheme="majorEastAsia"/>
          <w:szCs w:val="21"/>
        </w:rPr>
        <w:t>）将中标项目转让给他人、或者在投标文件中未说明且未经采购人、采购招标机构同意，将中标项目分包给他人的；</w:t>
      </w:r>
    </w:p>
    <w:p w14:paraId="109C66C8">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4</w:t>
      </w:r>
      <w:r>
        <w:rPr>
          <w:rFonts w:asciiTheme="majorEastAsia" w:hAnsiTheme="majorEastAsia" w:eastAsiaTheme="majorEastAsia"/>
          <w:szCs w:val="21"/>
        </w:rPr>
        <w:t>）拒绝履行合同义务的</w:t>
      </w:r>
      <w:r>
        <w:rPr>
          <w:rFonts w:hint="eastAsia" w:asciiTheme="majorEastAsia" w:hAnsiTheme="majorEastAsia" w:eastAsiaTheme="majorEastAsia"/>
          <w:szCs w:val="21"/>
        </w:rPr>
        <w:t>。</w:t>
      </w:r>
    </w:p>
    <w:bookmarkEnd w:id="62"/>
    <w:p w14:paraId="0CADC8FF">
      <w:pPr>
        <w:pStyle w:val="5"/>
        <w:widowControl/>
        <w:numPr>
          <w:ilvl w:val="0"/>
          <w:numId w:val="7"/>
        </w:numPr>
        <w:spacing w:before="120" w:beforeLines="50" w:after="12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质疑处理</w:t>
      </w:r>
    </w:p>
    <w:p w14:paraId="27B206C7">
      <w:pPr>
        <w:spacing w:line="360" w:lineRule="auto"/>
        <w:rPr>
          <w:rFonts w:asciiTheme="majorEastAsia" w:hAnsiTheme="majorEastAsia" w:eastAsiaTheme="majorEastAsia"/>
          <w:b/>
          <w:bCs/>
          <w:szCs w:val="21"/>
        </w:rPr>
      </w:pPr>
      <w:bookmarkStart w:id="79" w:name="_Hlk72439706"/>
      <w:r>
        <w:rPr>
          <w:rFonts w:hint="eastAsia" w:asciiTheme="majorEastAsia" w:hAnsiTheme="majorEastAsia" w:eastAsiaTheme="majorEastAsia"/>
          <w:b/>
          <w:bCs/>
          <w:szCs w:val="21"/>
        </w:rPr>
        <w:t>52.质疑提出与答复</w:t>
      </w:r>
    </w:p>
    <w:p w14:paraId="22E4F01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52.1提出质疑</w:t>
      </w:r>
    </w:p>
    <w:p w14:paraId="61457A0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6C1E56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52.2</w:t>
      </w:r>
      <w:r>
        <w:rPr>
          <w:rFonts w:asciiTheme="majorEastAsia" w:hAnsiTheme="majorEastAsia" w:eastAsiaTheme="majorEastAsia"/>
          <w:szCs w:val="21"/>
        </w:rPr>
        <w:t>法律依据</w:t>
      </w:r>
    </w:p>
    <w:p w14:paraId="270F3F6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0BE8C1B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52.3质疑条件</w:t>
      </w:r>
    </w:p>
    <w:p w14:paraId="029C7E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52.3.1提出质疑的供应商应当是参与所质疑项目采购活动的供应商；</w:t>
      </w:r>
      <w:bookmarkStart w:id="80" w:name="_Hlk75374941"/>
      <w:r>
        <w:rPr>
          <w:rFonts w:hint="eastAsia" w:asciiTheme="majorEastAsia" w:hAnsiTheme="majorEastAsia" w:eastAsiaTheme="majorEastAsia"/>
          <w:szCs w:val="21"/>
        </w:rPr>
        <w:t>以联合体形式参与的，质疑应当由组成联合体的所有成员共同提出</w:t>
      </w:r>
      <w:bookmarkEnd w:id="80"/>
      <w:r>
        <w:rPr>
          <w:rFonts w:hint="eastAsia" w:asciiTheme="majorEastAsia" w:hAnsiTheme="majorEastAsia" w:eastAsiaTheme="majorEastAsia"/>
          <w:szCs w:val="21"/>
        </w:rPr>
        <w:t>；</w:t>
      </w:r>
    </w:p>
    <w:p w14:paraId="6C57996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1BB40FB">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52.3.3应提交书面质疑函，质疑函应当包括以下内容：</w:t>
      </w:r>
    </w:p>
    <w:p w14:paraId="4268DF5A">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（1）供应商的名称（或者姓名）、地址、邮编、邮箱、联系人及联系电话；</w:t>
      </w:r>
    </w:p>
    <w:p w14:paraId="6DA2F6C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6FB6D9C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4FB4969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367F51E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66BB42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38167B2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53A897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499089F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52.4提交</w:t>
      </w:r>
      <w:r>
        <w:rPr>
          <w:rFonts w:asciiTheme="majorEastAsia" w:hAnsiTheme="majorEastAsia" w:eastAsiaTheme="majorEastAsia"/>
          <w:szCs w:val="21"/>
        </w:rPr>
        <w:t>材料</w:t>
      </w:r>
    </w:p>
    <w:p w14:paraId="5AA0282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05A520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C8FC8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52.5提交方式</w:t>
      </w:r>
    </w:p>
    <w:p w14:paraId="6AF2B0F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2.5.1</w:t>
      </w:r>
      <w:r>
        <w:rPr>
          <w:rFonts w:hint="eastAsia" w:asciiTheme="majorEastAsia" w:hAnsiTheme="majorEastAsia" w:eastAsiaTheme="majorEastAsia"/>
          <w:szCs w:val="21"/>
        </w:rPr>
        <w:t>供应商登录“深圳政府采购智慧平台用户网上办事子系统（http://zfcg.szggzy.com/TPBidder/memberLogin）”，在“【我的项目】→【项目流程】→【质疑】”中提出质疑。</w:t>
      </w:r>
    </w:p>
    <w:p w14:paraId="54A5C30F">
      <w:pPr>
        <w:spacing w:line="360" w:lineRule="auto"/>
        <w:ind w:firstLine="420" w:firstLineChars="200"/>
        <w:rPr>
          <w:rFonts w:asciiTheme="majorEastAsia" w:hAnsiTheme="majorEastAsia" w:eastAsiaTheme="majorEastAsia"/>
          <w:b/>
          <w:bCs/>
          <w:szCs w:val="21"/>
        </w:rPr>
      </w:pPr>
      <w:r>
        <w:rPr>
          <w:rFonts w:hint="eastAsia" w:asciiTheme="majorEastAsia" w:hAnsiTheme="majorEastAsia" w:eastAsiaTheme="majorEastAsia"/>
          <w:szCs w:val="21"/>
        </w:rPr>
        <w:t>5</w:t>
      </w:r>
      <w:r>
        <w:rPr>
          <w:rFonts w:asciiTheme="majorEastAsia" w:hAnsiTheme="majorEastAsia" w:eastAsiaTheme="majorEastAsia"/>
          <w:szCs w:val="21"/>
        </w:rPr>
        <w:t>2.5.2</w:t>
      </w:r>
      <w:r>
        <w:rPr>
          <w:rFonts w:hint="eastAsia" w:asciiTheme="majorEastAsia" w:hAnsiTheme="majorEastAsia" w:eastAsiaTheme="majorEastAsia"/>
          <w:szCs w:val="21"/>
        </w:rPr>
        <w:t>同时，请质疑供应商根据深圳政府采购智慧平台（http://zfcg.szggzy.com/）所发布的质疑指引、质疑函模板填写质疑函并提交质疑材料。</w:t>
      </w:r>
      <w:r>
        <w:rPr>
          <w:rFonts w:hint="eastAsia" w:asciiTheme="majorEastAsia" w:hAnsiTheme="majorEastAsia" w:eastAsiaTheme="majorEastAsia"/>
          <w:bCs/>
          <w:szCs w:val="21"/>
        </w:rPr>
        <w:t>地址：深圳市中正招标有限公司（深圳市福田区民田路171号新华保险大厦903），质疑咨询电话：0755-83026699。</w:t>
      </w:r>
    </w:p>
    <w:p w14:paraId="3E18821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52.6收文办理</w:t>
      </w:r>
      <w:r>
        <w:rPr>
          <w:rFonts w:asciiTheme="majorEastAsia" w:hAnsiTheme="majorEastAsia" w:eastAsiaTheme="majorEastAsia"/>
          <w:szCs w:val="21"/>
        </w:rPr>
        <w:t>程序</w:t>
      </w:r>
    </w:p>
    <w:p w14:paraId="1E9C64C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7E0B2E9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52.6.2供应商提交的质疑材料不符合质疑条件的，视情况处理：</w:t>
      </w:r>
    </w:p>
    <w:p w14:paraId="3BFE69B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0E046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3335C4D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6288481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61A9CB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5B64F3C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6B267DD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7AF40F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12F7027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52.7质疑答复时限</w:t>
      </w:r>
    </w:p>
    <w:p w14:paraId="64A1C50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6F3BE9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52.8投诉</w:t>
      </w:r>
    </w:p>
    <w:p w14:paraId="426EBE6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79"/>
    </w:p>
    <w:p w14:paraId="7B32DF81">
      <w:pPr>
        <w:rPr>
          <w:sz w:val="24"/>
        </w:rPr>
      </w:pPr>
    </w:p>
    <w:sectPr>
      <w:footerReference r:id="rId3" w:type="default"/>
      <w:footerReference r:id="rId4"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文鼎CS书宋二">
    <w:altName w:val="黑体"/>
    <w:panose1 w:val="00000000000000000000"/>
    <w:charset w:val="86"/>
    <w:family w:val="modern"/>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 w:name="文鼎CS长美黑">
    <w:altName w:val="黑体"/>
    <w:panose1 w:val="00000000000000000000"/>
    <w:charset w:val="86"/>
    <w:family w:val="modern"/>
    <w:pitch w:val="default"/>
    <w:sig w:usb0="00000000" w:usb1="00000000" w:usb2="00000010" w:usb3="00000000" w:csb0="00040000" w:csb1="00000000"/>
  </w:font>
  <w:font w:name="文鼎中楷">
    <w:altName w:val="宋体"/>
    <w:panose1 w:val="00000000000000000000"/>
    <w:charset w:val="86"/>
    <w:family w:val="modern"/>
    <w:pitch w:val="default"/>
    <w:sig w:usb0="00000000" w:usb1="00000000" w:usb2="00000010" w:usb3="00000000" w:csb0="00040000" w:csb1="00000000"/>
  </w:font>
  <w:font w:name="Tunga">
    <w:altName w:val="Segoe Print"/>
    <w:panose1 w:val="000004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Arial (W1)">
    <w:altName w:val="Arial"/>
    <w:panose1 w:val="00000000000000000000"/>
    <w:charset w:val="00"/>
    <w:family w:val="swiss"/>
    <w:pitch w:val="default"/>
    <w:sig w:usb0="00000000" w:usb1="00000000" w:usb2="00000009" w:usb3="00000000" w:csb0="000001FF" w:csb1="00000000"/>
  </w:font>
  <w:font w:name="ˎ̥">
    <w:altName w:val="微软雅黑"/>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幼圆">
    <w:panose1 w:val="0201050906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EE87">
    <w:pPr>
      <w:pStyle w:val="36"/>
      <w:jc w:val="center"/>
    </w:pPr>
    <w:r>
      <w:fldChar w:fldCharType="begin"/>
    </w:r>
    <w:r>
      <w:instrText xml:space="preserve">PAGE   \* MERGEFORMAT</w:instrText>
    </w:r>
    <w:r>
      <w:fldChar w:fldCharType="separate"/>
    </w:r>
    <w:r>
      <w:rPr>
        <w:lang w:val="zh-CN"/>
      </w:rPr>
      <w:t>31</w:t>
    </w:r>
    <w:r>
      <w:rPr>
        <w:lang w:val="zh-CN"/>
      </w:rPr>
      <w:fldChar w:fldCharType="end"/>
    </w:r>
  </w:p>
  <w:p w14:paraId="3BC7F3C1">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8DC0">
    <w:pPr>
      <w:pStyle w:val="36"/>
      <w:framePr w:wrap="around" w:vAnchor="text" w:hAnchor="margin" w:xAlign="center" w:y="1"/>
      <w:rPr>
        <w:rStyle w:val="62"/>
      </w:rPr>
    </w:pPr>
    <w:r>
      <w:rPr>
        <w:rStyle w:val="62"/>
      </w:rPr>
      <w:fldChar w:fldCharType="begin"/>
    </w:r>
    <w:r>
      <w:rPr>
        <w:rStyle w:val="62"/>
      </w:rPr>
      <w:instrText xml:space="preserve">PAGE  </w:instrText>
    </w:r>
    <w:r>
      <w:rPr>
        <w:rStyle w:val="62"/>
      </w:rPr>
      <w:fldChar w:fldCharType="end"/>
    </w:r>
  </w:p>
  <w:p w14:paraId="45299ABE">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00000003"/>
    <w:multiLevelType w:val="multilevel"/>
    <w:tmpl w:val="0000000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2503483"/>
    <w:multiLevelType w:val="multilevel"/>
    <w:tmpl w:val="12503483"/>
    <w:lvl w:ilvl="0" w:tentative="0">
      <w:start w:val="1"/>
      <w:numFmt w:val="bullet"/>
      <w:pStyle w:val="180"/>
      <w:lvlText w:val=""/>
      <w:lvlJc w:val="left"/>
      <w:pPr>
        <w:tabs>
          <w:tab w:val="left" w:pos="420"/>
        </w:tabs>
        <w:ind w:left="420" w:hanging="420"/>
      </w:pPr>
      <w:rPr>
        <w:rFonts w:hint="default" w:ascii="Wingdings" w:hAnsi="Wingdings"/>
      </w:rPr>
    </w:lvl>
    <w:lvl w:ilvl="1" w:tentative="0">
      <w:start w:val="1"/>
      <w:numFmt w:val="bullet"/>
      <w:pStyle w:val="17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173"/>
      <w:lvlText w:val=""/>
      <w:lvlJc w:val="left"/>
      <w:pPr>
        <w:tabs>
          <w:tab w:val="left" w:pos="840"/>
        </w:tabs>
        <w:ind w:left="840" w:hanging="420"/>
      </w:pPr>
      <w:rPr>
        <w:rFonts w:hint="default" w:ascii="Wingdings" w:hAnsi="Wingdings"/>
      </w:rPr>
    </w:lvl>
    <w:lvl w:ilvl="1" w:tentative="0">
      <w:start w:val="1"/>
      <w:numFmt w:val="bullet"/>
      <w:pStyle w:val="1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F395B7B"/>
    <w:multiLevelType w:val="multilevel"/>
    <w:tmpl w:val="2F395B7B"/>
    <w:lvl w:ilvl="0" w:tentative="0">
      <w:start w:val="1"/>
      <w:numFmt w:val="bullet"/>
      <w:pStyle w:val="220"/>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7AEF7716"/>
    <w:multiLevelType w:val="multilevel"/>
    <w:tmpl w:val="7AEF7716"/>
    <w:lvl w:ilvl="0" w:tentative="0">
      <w:start w:val="1"/>
      <w:numFmt w:val="chineseCountingThousand"/>
      <w:pStyle w:val="192"/>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iN2JjZGQwODQzNTVmMDg4ZGNmNzRhYmJlZDY2YTUifQ=="/>
  </w:docVars>
  <w:rsids>
    <w:rsidRoot w:val="006C5683"/>
    <w:rsid w:val="00000138"/>
    <w:rsid w:val="00000EF8"/>
    <w:rsid w:val="00001B0D"/>
    <w:rsid w:val="0000266E"/>
    <w:rsid w:val="00002ACF"/>
    <w:rsid w:val="00005215"/>
    <w:rsid w:val="00005A10"/>
    <w:rsid w:val="00006262"/>
    <w:rsid w:val="000069A6"/>
    <w:rsid w:val="00010102"/>
    <w:rsid w:val="00011F85"/>
    <w:rsid w:val="00012D63"/>
    <w:rsid w:val="00012E8E"/>
    <w:rsid w:val="00013A28"/>
    <w:rsid w:val="00013EE5"/>
    <w:rsid w:val="000153B1"/>
    <w:rsid w:val="00015A86"/>
    <w:rsid w:val="00015ACC"/>
    <w:rsid w:val="00016229"/>
    <w:rsid w:val="000164AF"/>
    <w:rsid w:val="00016873"/>
    <w:rsid w:val="00016F99"/>
    <w:rsid w:val="0001716B"/>
    <w:rsid w:val="000211EA"/>
    <w:rsid w:val="00021B9A"/>
    <w:rsid w:val="00021E19"/>
    <w:rsid w:val="0002323A"/>
    <w:rsid w:val="000234B2"/>
    <w:rsid w:val="00023D97"/>
    <w:rsid w:val="000271C9"/>
    <w:rsid w:val="000271FC"/>
    <w:rsid w:val="00027B1F"/>
    <w:rsid w:val="00030572"/>
    <w:rsid w:val="000305A1"/>
    <w:rsid w:val="00030661"/>
    <w:rsid w:val="00030EBC"/>
    <w:rsid w:val="00031700"/>
    <w:rsid w:val="00031F6E"/>
    <w:rsid w:val="00032D1B"/>
    <w:rsid w:val="00033860"/>
    <w:rsid w:val="000358D5"/>
    <w:rsid w:val="00035B0A"/>
    <w:rsid w:val="00036C09"/>
    <w:rsid w:val="00037307"/>
    <w:rsid w:val="00037D22"/>
    <w:rsid w:val="00040200"/>
    <w:rsid w:val="00040D3C"/>
    <w:rsid w:val="000413FD"/>
    <w:rsid w:val="00042434"/>
    <w:rsid w:val="00043048"/>
    <w:rsid w:val="00043384"/>
    <w:rsid w:val="0004380D"/>
    <w:rsid w:val="00043A89"/>
    <w:rsid w:val="0004468C"/>
    <w:rsid w:val="00045693"/>
    <w:rsid w:val="00045739"/>
    <w:rsid w:val="0004613D"/>
    <w:rsid w:val="00046998"/>
    <w:rsid w:val="00046BDD"/>
    <w:rsid w:val="00046CEE"/>
    <w:rsid w:val="000502E1"/>
    <w:rsid w:val="0005077A"/>
    <w:rsid w:val="000510B6"/>
    <w:rsid w:val="000515E1"/>
    <w:rsid w:val="00051CD5"/>
    <w:rsid w:val="00051F3F"/>
    <w:rsid w:val="00052BC1"/>
    <w:rsid w:val="00052ED3"/>
    <w:rsid w:val="00053B66"/>
    <w:rsid w:val="00054C97"/>
    <w:rsid w:val="0005582B"/>
    <w:rsid w:val="00055CC8"/>
    <w:rsid w:val="0005657C"/>
    <w:rsid w:val="00057107"/>
    <w:rsid w:val="00057332"/>
    <w:rsid w:val="00057F37"/>
    <w:rsid w:val="00061771"/>
    <w:rsid w:val="00061F9A"/>
    <w:rsid w:val="0006267A"/>
    <w:rsid w:val="000626BD"/>
    <w:rsid w:val="00062D88"/>
    <w:rsid w:val="0006335B"/>
    <w:rsid w:val="00063E88"/>
    <w:rsid w:val="0006404A"/>
    <w:rsid w:val="0006459F"/>
    <w:rsid w:val="000646AF"/>
    <w:rsid w:val="00064CF6"/>
    <w:rsid w:val="000651F3"/>
    <w:rsid w:val="0006670C"/>
    <w:rsid w:val="00066938"/>
    <w:rsid w:val="00066D42"/>
    <w:rsid w:val="00067D92"/>
    <w:rsid w:val="00072BB3"/>
    <w:rsid w:val="00072BD5"/>
    <w:rsid w:val="00074C95"/>
    <w:rsid w:val="000750DC"/>
    <w:rsid w:val="000757B9"/>
    <w:rsid w:val="00075CAC"/>
    <w:rsid w:val="000778CA"/>
    <w:rsid w:val="00082129"/>
    <w:rsid w:val="00082493"/>
    <w:rsid w:val="00082667"/>
    <w:rsid w:val="00083536"/>
    <w:rsid w:val="00083B81"/>
    <w:rsid w:val="00083DC6"/>
    <w:rsid w:val="00083EAB"/>
    <w:rsid w:val="0008474A"/>
    <w:rsid w:val="00085C2C"/>
    <w:rsid w:val="000869D8"/>
    <w:rsid w:val="000878C2"/>
    <w:rsid w:val="0009075A"/>
    <w:rsid w:val="00090B6E"/>
    <w:rsid w:val="00092583"/>
    <w:rsid w:val="00092FC7"/>
    <w:rsid w:val="00093165"/>
    <w:rsid w:val="00093678"/>
    <w:rsid w:val="0009376D"/>
    <w:rsid w:val="00093A8F"/>
    <w:rsid w:val="00093CC0"/>
    <w:rsid w:val="00094E8B"/>
    <w:rsid w:val="000954A3"/>
    <w:rsid w:val="000954D5"/>
    <w:rsid w:val="00095B4C"/>
    <w:rsid w:val="0009618D"/>
    <w:rsid w:val="00096B7E"/>
    <w:rsid w:val="0009709B"/>
    <w:rsid w:val="00097A3B"/>
    <w:rsid w:val="000A1219"/>
    <w:rsid w:val="000A7BAD"/>
    <w:rsid w:val="000B03AA"/>
    <w:rsid w:val="000B05E2"/>
    <w:rsid w:val="000B1B61"/>
    <w:rsid w:val="000B248B"/>
    <w:rsid w:val="000B2568"/>
    <w:rsid w:val="000B3C10"/>
    <w:rsid w:val="000B4287"/>
    <w:rsid w:val="000B555F"/>
    <w:rsid w:val="000B5B84"/>
    <w:rsid w:val="000B7B2B"/>
    <w:rsid w:val="000C006E"/>
    <w:rsid w:val="000C1EE4"/>
    <w:rsid w:val="000C29D5"/>
    <w:rsid w:val="000C4425"/>
    <w:rsid w:val="000C608A"/>
    <w:rsid w:val="000C60F0"/>
    <w:rsid w:val="000C611D"/>
    <w:rsid w:val="000C6956"/>
    <w:rsid w:val="000C7342"/>
    <w:rsid w:val="000C7CC8"/>
    <w:rsid w:val="000D1063"/>
    <w:rsid w:val="000D1163"/>
    <w:rsid w:val="000D1A7D"/>
    <w:rsid w:val="000D2309"/>
    <w:rsid w:val="000D38F9"/>
    <w:rsid w:val="000D4357"/>
    <w:rsid w:val="000D4AF2"/>
    <w:rsid w:val="000D4B0D"/>
    <w:rsid w:val="000D5510"/>
    <w:rsid w:val="000D6151"/>
    <w:rsid w:val="000D63A9"/>
    <w:rsid w:val="000D64A0"/>
    <w:rsid w:val="000D6A7D"/>
    <w:rsid w:val="000D6F05"/>
    <w:rsid w:val="000E1128"/>
    <w:rsid w:val="000E2D6D"/>
    <w:rsid w:val="000E4DE8"/>
    <w:rsid w:val="000E5421"/>
    <w:rsid w:val="000E785C"/>
    <w:rsid w:val="000E7E85"/>
    <w:rsid w:val="000E7F40"/>
    <w:rsid w:val="000F17DB"/>
    <w:rsid w:val="000F2065"/>
    <w:rsid w:val="000F24FD"/>
    <w:rsid w:val="000F2A88"/>
    <w:rsid w:val="000F2C23"/>
    <w:rsid w:val="000F2D1B"/>
    <w:rsid w:val="000F3403"/>
    <w:rsid w:val="000F3B6B"/>
    <w:rsid w:val="000F521C"/>
    <w:rsid w:val="000F565B"/>
    <w:rsid w:val="000F5F3F"/>
    <w:rsid w:val="001004B0"/>
    <w:rsid w:val="00101486"/>
    <w:rsid w:val="00101DD0"/>
    <w:rsid w:val="00102037"/>
    <w:rsid w:val="00102555"/>
    <w:rsid w:val="00104CBB"/>
    <w:rsid w:val="001054D9"/>
    <w:rsid w:val="00105834"/>
    <w:rsid w:val="00106A6C"/>
    <w:rsid w:val="001079E3"/>
    <w:rsid w:val="00107C23"/>
    <w:rsid w:val="00107D54"/>
    <w:rsid w:val="0011254B"/>
    <w:rsid w:val="0011273B"/>
    <w:rsid w:val="00114F99"/>
    <w:rsid w:val="0011501D"/>
    <w:rsid w:val="001153D0"/>
    <w:rsid w:val="001158E3"/>
    <w:rsid w:val="00115A55"/>
    <w:rsid w:val="0011682D"/>
    <w:rsid w:val="00117E2C"/>
    <w:rsid w:val="001212EF"/>
    <w:rsid w:val="0012144B"/>
    <w:rsid w:val="0012167A"/>
    <w:rsid w:val="001217DC"/>
    <w:rsid w:val="0012203F"/>
    <w:rsid w:val="00123355"/>
    <w:rsid w:val="00123CC6"/>
    <w:rsid w:val="00125C8A"/>
    <w:rsid w:val="001262BD"/>
    <w:rsid w:val="00127019"/>
    <w:rsid w:val="0012739B"/>
    <w:rsid w:val="00130827"/>
    <w:rsid w:val="001308A2"/>
    <w:rsid w:val="0013131E"/>
    <w:rsid w:val="00131600"/>
    <w:rsid w:val="00131E3E"/>
    <w:rsid w:val="001321AE"/>
    <w:rsid w:val="00132B0E"/>
    <w:rsid w:val="001342D6"/>
    <w:rsid w:val="00136333"/>
    <w:rsid w:val="00143653"/>
    <w:rsid w:val="00143B3A"/>
    <w:rsid w:val="0014469E"/>
    <w:rsid w:val="00144BEA"/>
    <w:rsid w:val="00146978"/>
    <w:rsid w:val="00146FFD"/>
    <w:rsid w:val="0014765D"/>
    <w:rsid w:val="00147919"/>
    <w:rsid w:val="00150A48"/>
    <w:rsid w:val="00153B8E"/>
    <w:rsid w:val="0015483B"/>
    <w:rsid w:val="00154D4B"/>
    <w:rsid w:val="00155A84"/>
    <w:rsid w:val="0015623F"/>
    <w:rsid w:val="00156E3B"/>
    <w:rsid w:val="0015748D"/>
    <w:rsid w:val="00157737"/>
    <w:rsid w:val="00157782"/>
    <w:rsid w:val="00157E23"/>
    <w:rsid w:val="00157E26"/>
    <w:rsid w:val="00157FC3"/>
    <w:rsid w:val="00161C84"/>
    <w:rsid w:val="00161FE7"/>
    <w:rsid w:val="001626BD"/>
    <w:rsid w:val="00162772"/>
    <w:rsid w:val="00162789"/>
    <w:rsid w:val="00163120"/>
    <w:rsid w:val="00164D77"/>
    <w:rsid w:val="00164DBF"/>
    <w:rsid w:val="00164DCE"/>
    <w:rsid w:val="00164E23"/>
    <w:rsid w:val="0016561B"/>
    <w:rsid w:val="0016595F"/>
    <w:rsid w:val="00165C15"/>
    <w:rsid w:val="00166A2C"/>
    <w:rsid w:val="001701B5"/>
    <w:rsid w:val="00170951"/>
    <w:rsid w:val="001712D1"/>
    <w:rsid w:val="00171CAB"/>
    <w:rsid w:val="00174594"/>
    <w:rsid w:val="00174BE1"/>
    <w:rsid w:val="00174D6D"/>
    <w:rsid w:val="00175466"/>
    <w:rsid w:val="00175544"/>
    <w:rsid w:val="00175981"/>
    <w:rsid w:val="00175D9D"/>
    <w:rsid w:val="00176C29"/>
    <w:rsid w:val="00176F5B"/>
    <w:rsid w:val="00177167"/>
    <w:rsid w:val="001814C1"/>
    <w:rsid w:val="001815EB"/>
    <w:rsid w:val="00181B0A"/>
    <w:rsid w:val="001827DD"/>
    <w:rsid w:val="00182E35"/>
    <w:rsid w:val="00182E53"/>
    <w:rsid w:val="00183264"/>
    <w:rsid w:val="00183C79"/>
    <w:rsid w:val="00183C8B"/>
    <w:rsid w:val="00183E75"/>
    <w:rsid w:val="001845CF"/>
    <w:rsid w:val="00184A79"/>
    <w:rsid w:val="00184B66"/>
    <w:rsid w:val="0018545D"/>
    <w:rsid w:val="0018574B"/>
    <w:rsid w:val="001862DA"/>
    <w:rsid w:val="001865BB"/>
    <w:rsid w:val="00187518"/>
    <w:rsid w:val="00187A03"/>
    <w:rsid w:val="0019072C"/>
    <w:rsid w:val="001925DA"/>
    <w:rsid w:val="00195110"/>
    <w:rsid w:val="00196B4E"/>
    <w:rsid w:val="001A0108"/>
    <w:rsid w:val="001A027A"/>
    <w:rsid w:val="001A0643"/>
    <w:rsid w:val="001A0D2C"/>
    <w:rsid w:val="001A10C3"/>
    <w:rsid w:val="001A4138"/>
    <w:rsid w:val="001A422B"/>
    <w:rsid w:val="001A440A"/>
    <w:rsid w:val="001A442E"/>
    <w:rsid w:val="001A472A"/>
    <w:rsid w:val="001A4A55"/>
    <w:rsid w:val="001A6A4F"/>
    <w:rsid w:val="001A7094"/>
    <w:rsid w:val="001A7098"/>
    <w:rsid w:val="001A76B7"/>
    <w:rsid w:val="001A76E3"/>
    <w:rsid w:val="001B02D9"/>
    <w:rsid w:val="001B08E1"/>
    <w:rsid w:val="001B1339"/>
    <w:rsid w:val="001B2E6C"/>
    <w:rsid w:val="001B32D2"/>
    <w:rsid w:val="001B4508"/>
    <w:rsid w:val="001B465A"/>
    <w:rsid w:val="001B47AF"/>
    <w:rsid w:val="001B47E4"/>
    <w:rsid w:val="001B6FAD"/>
    <w:rsid w:val="001B7E49"/>
    <w:rsid w:val="001C04B2"/>
    <w:rsid w:val="001C0853"/>
    <w:rsid w:val="001C1B6D"/>
    <w:rsid w:val="001C1D50"/>
    <w:rsid w:val="001C1FDE"/>
    <w:rsid w:val="001C371D"/>
    <w:rsid w:val="001C44B7"/>
    <w:rsid w:val="001C573F"/>
    <w:rsid w:val="001C5839"/>
    <w:rsid w:val="001C5DD3"/>
    <w:rsid w:val="001C6DCE"/>
    <w:rsid w:val="001C77E1"/>
    <w:rsid w:val="001C7ADA"/>
    <w:rsid w:val="001D0149"/>
    <w:rsid w:val="001D28C9"/>
    <w:rsid w:val="001D3543"/>
    <w:rsid w:val="001D5367"/>
    <w:rsid w:val="001D58E5"/>
    <w:rsid w:val="001D5D08"/>
    <w:rsid w:val="001D635C"/>
    <w:rsid w:val="001D763E"/>
    <w:rsid w:val="001D7956"/>
    <w:rsid w:val="001E085F"/>
    <w:rsid w:val="001E0F53"/>
    <w:rsid w:val="001E18DB"/>
    <w:rsid w:val="001E1DE3"/>
    <w:rsid w:val="001E2502"/>
    <w:rsid w:val="001E292F"/>
    <w:rsid w:val="001E3892"/>
    <w:rsid w:val="001E3C03"/>
    <w:rsid w:val="001E474D"/>
    <w:rsid w:val="001E48A2"/>
    <w:rsid w:val="001E534B"/>
    <w:rsid w:val="001E5A81"/>
    <w:rsid w:val="001E67F1"/>
    <w:rsid w:val="001E6B57"/>
    <w:rsid w:val="001E7375"/>
    <w:rsid w:val="001F0349"/>
    <w:rsid w:val="001F0B74"/>
    <w:rsid w:val="001F0F96"/>
    <w:rsid w:val="001F1F6B"/>
    <w:rsid w:val="001F2AFE"/>
    <w:rsid w:val="001F348B"/>
    <w:rsid w:val="001F3B20"/>
    <w:rsid w:val="001F4107"/>
    <w:rsid w:val="001F49C8"/>
    <w:rsid w:val="001F4EB8"/>
    <w:rsid w:val="001F602F"/>
    <w:rsid w:val="001F6F6A"/>
    <w:rsid w:val="001F7595"/>
    <w:rsid w:val="0020036D"/>
    <w:rsid w:val="00200965"/>
    <w:rsid w:val="00200B4C"/>
    <w:rsid w:val="00203267"/>
    <w:rsid w:val="0020391D"/>
    <w:rsid w:val="00203B0B"/>
    <w:rsid w:val="00203E77"/>
    <w:rsid w:val="00205831"/>
    <w:rsid w:val="00205A78"/>
    <w:rsid w:val="00205F9C"/>
    <w:rsid w:val="002075B8"/>
    <w:rsid w:val="002106DD"/>
    <w:rsid w:val="00210771"/>
    <w:rsid w:val="00211885"/>
    <w:rsid w:val="002124CB"/>
    <w:rsid w:val="002131CE"/>
    <w:rsid w:val="00215699"/>
    <w:rsid w:val="002159DE"/>
    <w:rsid w:val="00215E99"/>
    <w:rsid w:val="002166A6"/>
    <w:rsid w:val="00216BB6"/>
    <w:rsid w:val="00216C18"/>
    <w:rsid w:val="0022048B"/>
    <w:rsid w:val="002205DF"/>
    <w:rsid w:val="002217B9"/>
    <w:rsid w:val="00222261"/>
    <w:rsid w:val="002241CD"/>
    <w:rsid w:val="00225B37"/>
    <w:rsid w:val="0022634D"/>
    <w:rsid w:val="002272DC"/>
    <w:rsid w:val="002276B0"/>
    <w:rsid w:val="00227B6A"/>
    <w:rsid w:val="00227D49"/>
    <w:rsid w:val="00227FC7"/>
    <w:rsid w:val="002325AC"/>
    <w:rsid w:val="002336B7"/>
    <w:rsid w:val="00233E63"/>
    <w:rsid w:val="00236E72"/>
    <w:rsid w:val="0024290F"/>
    <w:rsid w:val="002452A0"/>
    <w:rsid w:val="002462C2"/>
    <w:rsid w:val="00250F42"/>
    <w:rsid w:val="00253567"/>
    <w:rsid w:val="00254518"/>
    <w:rsid w:val="00254B44"/>
    <w:rsid w:val="00254E99"/>
    <w:rsid w:val="0026027A"/>
    <w:rsid w:val="00260533"/>
    <w:rsid w:val="00261367"/>
    <w:rsid w:val="00261A54"/>
    <w:rsid w:val="00261ACA"/>
    <w:rsid w:val="00261D37"/>
    <w:rsid w:val="00261D6F"/>
    <w:rsid w:val="00261E87"/>
    <w:rsid w:val="00263607"/>
    <w:rsid w:val="00264288"/>
    <w:rsid w:val="0026456B"/>
    <w:rsid w:val="00264D4D"/>
    <w:rsid w:val="002656E1"/>
    <w:rsid w:val="00265CFF"/>
    <w:rsid w:val="00265E0D"/>
    <w:rsid w:val="00271010"/>
    <w:rsid w:val="00271117"/>
    <w:rsid w:val="00272241"/>
    <w:rsid w:val="00272FCF"/>
    <w:rsid w:val="002740AB"/>
    <w:rsid w:val="00274D28"/>
    <w:rsid w:val="00275641"/>
    <w:rsid w:val="00280361"/>
    <w:rsid w:val="002805D9"/>
    <w:rsid w:val="002806B7"/>
    <w:rsid w:val="00280FD0"/>
    <w:rsid w:val="002821E9"/>
    <w:rsid w:val="0028247A"/>
    <w:rsid w:val="002842BE"/>
    <w:rsid w:val="0028569A"/>
    <w:rsid w:val="00285976"/>
    <w:rsid w:val="002861BB"/>
    <w:rsid w:val="002863E8"/>
    <w:rsid w:val="0028787B"/>
    <w:rsid w:val="002908A7"/>
    <w:rsid w:val="00291796"/>
    <w:rsid w:val="00292F66"/>
    <w:rsid w:val="0029315D"/>
    <w:rsid w:val="00293E91"/>
    <w:rsid w:val="00294018"/>
    <w:rsid w:val="00294309"/>
    <w:rsid w:val="0029449E"/>
    <w:rsid w:val="002954D3"/>
    <w:rsid w:val="00295866"/>
    <w:rsid w:val="002969C6"/>
    <w:rsid w:val="00296A58"/>
    <w:rsid w:val="00296F46"/>
    <w:rsid w:val="00296F47"/>
    <w:rsid w:val="00296F8A"/>
    <w:rsid w:val="002A180F"/>
    <w:rsid w:val="002A40D8"/>
    <w:rsid w:val="002A4567"/>
    <w:rsid w:val="002A5310"/>
    <w:rsid w:val="002A72D2"/>
    <w:rsid w:val="002A7315"/>
    <w:rsid w:val="002B15FB"/>
    <w:rsid w:val="002B22D4"/>
    <w:rsid w:val="002B2828"/>
    <w:rsid w:val="002B2C0A"/>
    <w:rsid w:val="002B37BD"/>
    <w:rsid w:val="002B404C"/>
    <w:rsid w:val="002B44DC"/>
    <w:rsid w:val="002B4712"/>
    <w:rsid w:val="002B54B5"/>
    <w:rsid w:val="002B62D6"/>
    <w:rsid w:val="002B7684"/>
    <w:rsid w:val="002B7969"/>
    <w:rsid w:val="002B7EA2"/>
    <w:rsid w:val="002C17D7"/>
    <w:rsid w:val="002C1CCC"/>
    <w:rsid w:val="002C1D96"/>
    <w:rsid w:val="002C257A"/>
    <w:rsid w:val="002C2F21"/>
    <w:rsid w:val="002C3550"/>
    <w:rsid w:val="002C3CED"/>
    <w:rsid w:val="002C44E8"/>
    <w:rsid w:val="002C7710"/>
    <w:rsid w:val="002C7C67"/>
    <w:rsid w:val="002C7DAA"/>
    <w:rsid w:val="002D0356"/>
    <w:rsid w:val="002D07C0"/>
    <w:rsid w:val="002D1363"/>
    <w:rsid w:val="002D1DBB"/>
    <w:rsid w:val="002D1DFB"/>
    <w:rsid w:val="002D2B82"/>
    <w:rsid w:val="002D45BF"/>
    <w:rsid w:val="002D4A85"/>
    <w:rsid w:val="002D52CB"/>
    <w:rsid w:val="002D64DF"/>
    <w:rsid w:val="002E084D"/>
    <w:rsid w:val="002E2320"/>
    <w:rsid w:val="002E31E7"/>
    <w:rsid w:val="002E38DB"/>
    <w:rsid w:val="002E46F6"/>
    <w:rsid w:val="002E4BAF"/>
    <w:rsid w:val="002E54A5"/>
    <w:rsid w:val="002E7510"/>
    <w:rsid w:val="002E79C6"/>
    <w:rsid w:val="002E7B5B"/>
    <w:rsid w:val="002E7DBC"/>
    <w:rsid w:val="002F027E"/>
    <w:rsid w:val="002F08BE"/>
    <w:rsid w:val="002F157B"/>
    <w:rsid w:val="002F1DB6"/>
    <w:rsid w:val="002F26C8"/>
    <w:rsid w:val="002F2B7A"/>
    <w:rsid w:val="002F2CFE"/>
    <w:rsid w:val="002F3105"/>
    <w:rsid w:val="002F3248"/>
    <w:rsid w:val="002F38EC"/>
    <w:rsid w:val="002F41A5"/>
    <w:rsid w:val="002F467A"/>
    <w:rsid w:val="002F4C44"/>
    <w:rsid w:val="002F5DB5"/>
    <w:rsid w:val="002F64CF"/>
    <w:rsid w:val="002F72FF"/>
    <w:rsid w:val="002F7E2B"/>
    <w:rsid w:val="003003F5"/>
    <w:rsid w:val="00300CEC"/>
    <w:rsid w:val="00300DE7"/>
    <w:rsid w:val="003012BD"/>
    <w:rsid w:val="00301BCD"/>
    <w:rsid w:val="0030463E"/>
    <w:rsid w:val="00304ED6"/>
    <w:rsid w:val="00304FA6"/>
    <w:rsid w:val="003058EB"/>
    <w:rsid w:val="00306FF4"/>
    <w:rsid w:val="00312A09"/>
    <w:rsid w:val="00312FB0"/>
    <w:rsid w:val="00315A06"/>
    <w:rsid w:val="00317D36"/>
    <w:rsid w:val="00320792"/>
    <w:rsid w:val="00320C77"/>
    <w:rsid w:val="00321640"/>
    <w:rsid w:val="00321793"/>
    <w:rsid w:val="003219B7"/>
    <w:rsid w:val="00322147"/>
    <w:rsid w:val="003225FB"/>
    <w:rsid w:val="00322601"/>
    <w:rsid w:val="00322C1D"/>
    <w:rsid w:val="00323168"/>
    <w:rsid w:val="00323833"/>
    <w:rsid w:val="003238CB"/>
    <w:rsid w:val="00323A6E"/>
    <w:rsid w:val="00323A7C"/>
    <w:rsid w:val="00323BE9"/>
    <w:rsid w:val="00323C32"/>
    <w:rsid w:val="00324A1D"/>
    <w:rsid w:val="00325742"/>
    <w:rsid w:val="003275FC"/>
    <w:rsid w:val="00327885"/>
    <w:rsid w:val="00327948"/>
    <w:rsid w:val="00327AB3"/>
    <w:rsid w:val="00332A89"/>
    <w:rsid w:val="00332E99"/>
    <w:rsid w:val="00333517"/>
    <w:rsid w:val="00333BFB"/>
    <w:rsid w:val="00333EBE"/>
    <w:rsid w:val="00334432"/>
    <w:rsid w:val="0033546A"/>
    <w:rsid w:val="0033739F"/>
    <w:rsid w:val="00340590"/>
    <w:rsid w:val="00342DC1"/>
    <w:rsid w:val="003430DE"/>
    <w:rsid w:val="00343B3F"/>
    <w:rsid w:val="00343F41"/>
    <w:rsid w:val="0034433C"/>
    <w:rsid w:val="00345EA7"/>
    <w:rsid w:val="0034652C"/>
    <w:rsid w:val="00346919"/>
    <w:rsid w:val="00346BC1"/>
    <w:rsid w:val="00347724"/>
    <w:rsid w:val="00347E4A"/>
    <w:rsid w:val="0035067B"/>
    <w:rsid w:val="0035174F"/>
    <w:rsid w:val="00351A4A"/>
    <w:rsid w:val="00351EDE"/>
    <w:rsid w:val="00351FB4"/>
    <w:rsid w:val="003548D3"/>
    <w:rsid w:val="00355DFE"/>
    <w:rsid w:val="00357ECA"/>
    <w:rsid w:val="00360494"/>
    <w:rsid w:val="003621BA"/>
    <w:rsid w:val="00362804"/>
    <w:rsid w:val="00363BC6"/>
    <w:rsid w:val="0036508D"/>
    <w:rsid w:val="003651C8"/>
    <w:rsid w:val="003664F5"/>
    <w:rsid w:val="003666DE"/>
    <w:rsid w:val="003669F1"/>
    <w:rsid w:val="003671E7"/>
    <w:rsid w:val="003700A3"/>
    <w:rsid w:val="00370B40"/>
    <w:rsid w:val="00370FFB"/>
    <w:rsid w:val="003729FB"/>
    <w:rsid w:val="00372E4F"/>
    <w:rsid w:val="00373411"/>
    <w:rsid w:val="003738C6"/>
    <w:rsid w:val="00373D40"/>
    <w:rsid w:val="003743B1"/>
    <w:rsid w:val="003762B9"/>
    <w:rsid w:val="00376747"/>
    <w:rsid w:val="00380094"/>
    <w:rsid w:val="00381263"/>
    <w:rsid w:val="0038131C"/>
    <w:rsid w:val="0038165D"/>
    <w:rsid w:val="0038177D"/>
    <w:rsid w:val="00383071"/>
    <w:rsid w:val="00385F39"/>
    <w:rsid w:val="0038713B"/>
    <w:rsid w:val="00387EA9"/>
    <w:rsid w:val="00390ED6"/>
    <w:rsid w:val="00391FAB"/>
    <w:rsid w:val="00392539"/>
    <w:rsid w:val="00392677"/>
    <w:rsid w:val="00394981"/>
    <w:rsid w:val="00394CDE"/>
    <w:rsid w:val="00394F5B"/>
    <w:rsid w:val="003953A8"/>
    <w:rsid w:val="0039555A"/>
    <w:rsid w:val="003955C9"/>
    <w:rsid w:val="0039788E"/>
    <w:rsid w:val="00397A4B"/>
    <w:rsid w:val="003A00E1"/>
    <w:rsid w:val="003A11FE"/>
    <w:rsid w:val="003A13D3"/>
    <w:rsid w:val="003A2F11"/>
    <w:rsid w:val="003A33B5"/>
    <w:rsid w:val="003A3551"/>
    <w:rsid w:val="003A38F0"/>
    <w:rsid w:val="003A3B5D"/>
    <w:rsid w:val="003A443D"/>
    <w:rsid w:val="003A6A5A"/>
    <w:rsid w:val="003A72E9"/>
    <w:rsid w:val="003B0C78"/>
    <w:rsid w:val="003B1C2E"/>
    <w:rsid w:val="003B2071"/>
    <w:rsid w:val="003B2446"/>
    <w:rsid w:val="003B3629"/>
    <w:rsid w:val="003B5A08"/>
    <w:rsid w:val="003B5EF3"/>
    <w:rsid w:val="003C274D"/>
    <w:rsid w:val="003C3DF2"/>
    <w:rsid w:val="003C5FB2"/>
    <w:rsid w:val="003C7E90"/>
    <w:rsid w:val="003D03BB"/>
    <w:rsid w:val="003D07CD"/>
    <w:rsid w:val="003D0FD5"/>
    <w:rsid w:val="003D1879"/>
    <w:rsid w:val="003D2333"/>
    <w:rsid w:val="003D2AB1"/>
    <w:rsid w:val="003D327C"/>
    <w:rsid w:val="003D3AAF"/>
    <w:rsid w:val="003D499D"/>
    <w:rsid w:val="003D5413"/>
    <w:rsid w:val="003D5C1C"/>
    <w:rsid w:val="003D663F"/>
    <w:rsid w:val="003E098C"/>
    <w:rsid w:val="003E1EF8"/>
    <w:rsid w:val="003E2C31"/>
    <w:rsid w:val="003E37AA"/>
    <w:rsid w:val="003E3F02"/>
    <w:rsid w:val="003E47DE"/>
    <w:rsid w:val="003E4C37"/>
    <w:rsid w:val="003E4DC5"/>
    <w:rsid w:val="003E508F"/>
    <w:rsid w:val="003E6CE7"/>
    <w:rsid w:val="003E72CA"/>
    <w:rsid w:val="003E76AB"/>
    <w:rsid w:val="003E7F84"/>
    <w:rsid w:val="003F10D3"/>
    <w:rsid w:val="003F1548"/>
    <w:rsid w:val="003F1E9C"/>
    <w:rsid w:val="003F2B3D"/>
    <w:rsid w:val="003F2E99"/>
    <w:rsid w:val="003F2F9C"/>
    <w:rsid w:val="003F3105"/>
    <w:rsid w:val="003F3A84"/>
    <w:rsid w:val="003F3F17"/>
    <w:rsid w:val="003F4172"/>
    <w:rsid w:val="003F4249"/>
    <w:rsid w:val="003F5086"/>
    <w:rsid w:val="003F6D4E"/>
    <w:rsid w:val="003F78B4"/>
    <w:rsid w:val="00400338"/>
    <w:rsid w:val="00400346"/>
    <w:rsid w:val="00403364"/>
    <w:rsid w:val="0040357C"/>
    <w:rsid w:val="00403601"/>
    <w:rsid w:val="004037D2"/>
    <w:rsid w:val="0040415C"/>
    <w:rsid w:val="00405A3C"/>
    <w:rsid w:val="00406161"/>
    <w:rsid w:val="004072AE"/>
    <w:rsid w:val="004103C2"/>
    <w:rsid w:val="0041450E"/>
    <w:rsid w:val="00414C54"/>
    <w:rsid w:val="00414C80"/>
    <w:rsid w:val="00415024"/>
    <w:rsid w:val="00415370"/>
    <w:rsid w:val="00415781"/>
    <w:rsid w:val="00416F40"/>
    <w:rsid w:val="00417769"/>
    <w:rsid w:val="00420076"/>
    <w:rsid w:val="00421DFB"/>
    <w:rsid w:val="00421EF2"/>
    <w:rsid w:val="00422565"/>
    <w:rsid w:val="00422668"/>
    <w:rsid w:val="00423056"/>
    <w:rsid w:val="00424051"/>
    <w:rsid w:val="0042602D"/>
    <w:rsid w:val="0042698A"/>
    <w:rsid w:val="00426E84"/>
    <w:rsid w:val="00430770"/>
    <w:rsid w:val="00431225"/>
    <w:rsid w:val="00431AC1"/>
    <w:rsid w:val="00431BC3"/>
    <w:rsid w:val="004329C9"/>
    <w:rsid w:val="00432A55"/>
    <w:rsid w:val="00432CD5"/>
    <w:rsid w:val="0043621E"/>
    <w:rsid w:val="004363FA"/>
    <w:rsid w:val="004364CC"/>
    <w:rsid w:val="00437585"/>
    <w:rsid w:val="0044020B"/>
    <w:rsid w:val="004405B0"/>
    <w:rsid w:val="004407A8"/>
    <w:rsid w:val="004410D6"/>
    <w:rsid w:val="004417C6"/>
    <w:rsid w:val="00441C9A"/>
    <w:rsid w:val="00441FF9"/>
    <w:rsid w:val="00442623"/>
    <w:rsid w:val="00442E2F"/>
    <w:rsid w:val="004433D8"/>
    <w:rsid w:val="004433E2"/>
    <w:rsid w:val="0044382F"/>
    <w:rsid w:val="004442EB"/>
    <w:rsid w:val="00444EE8"/>
    <w:rsid w:val="00444EF3"/>
    <w:rsid w:val="00447FDC"/>
    <w:rsid w:val="004500DC"/>
    <w:rsid w:val="0045106C"/>
    <w:rsid w:val="0045135E"/>
    <w:rsid w:val="004513B9"/>
    <w:rsid w:val="004525E1"/>
    <w:rsid w:val="00452C53"/>
    <w:rsid w:val="0045364C"/>
    <w:rsid w:val="00453C0F"/>
    <w:rsid w:val="00454597"/>
    <w:rsid w:val="004548E6"/>
    <w:rsid w:val="0045543A"/>
    <w:rsid w:val="00455FC0"/>
    <w:rsid w:val="004561F9"/>
    <w:rsid w:val="0045637C"/>
    <w:rsid w:val="00460055"/>
    <w:rsid w:val="004603D6"/>
    <w:rsid w:val="0046191B"/>
    <w:rsid w:val="00463F8B"/>
    <w:rsid w:val="00465F8E"/>
    <w:rsid w:val="00466588"/>
    <w:rsid w:val="0046687B"/>
    <w:rsid w:val="00470291"/>
    <w:rsid w:val="00470394"/>
    <w:rsid w:val="00470418"/>
    <w:rsid w:val="004727C4"/>
    <w:rsid w:val="00472AD6"/>
    <w:rsid w:val="004733FD"/>
    <w:rsid w:val="00473579"/>
    <w:rsid w:val="00474814"/>
    <w:rsid w:val="004768A3"/>
    <w:rsid w:val="00477740"/>
    <w:rsid w:val="0048007B"/>
    <w:rsid w:val="00482208"/>
    <w:rsid w:val="0048231B"/>
    <w:rsid w:val="0048233B"/>
    <w:rsid w:val="00483307"/>
    <w:rsid w:val="004838D4"/>
    <w:rsid w:val="00483929"/>
    <w:rsid w:val="00483CAC"/>
    <w:rsid w:val="0048410E"/>
    <w:rsid w:val="004845AC"/>
    <w:rsid w:val="00485E3C"/>
    <w:rsid w:val="00487EE8"/>
    <w:rsid w:val="00490BF1"/>
    <w:rsid w:val="00491053"/>
    <w:rsid w:val="004914CC"/>
    <w:rsid w:val="004915C1"/>
    <w:rsid w:val="00492735"/>
    <w:rsid w:val="004936B3"/>
    <w:rsid w:val="00493A33"/>
    <w:rsid w:val="00494957"/>
    <w:rsid w:val="00494D94"/>
    <w:rsid w:val="00494FC9"/>
    <w:rsid w:val="0049593E"/>
    <w:rsid w:val="00495A2D"/>
    <w:rsid w:val="00495E3B"/>
    <w:rsid w:val="00496831"/>
    <w:rsid w:val="00496C4B"/>
    <w:rsid w:val="00497D0E"/>
    <w:rsid w:val="004A04EE"/>
    <w:rsid w:val="004A05BC"/>
    <w:rsid w:val="004A1318"/>
    <w:rsid w:val="004A1BC0"/>
    <w:rsid w:val="004A201B"/>
    <w:rsid w:val="004A2761"/>
    <w:rsid w:val="004A2B2D"/>
    <w:rsid w:val="004A3423"/>
    <w:rsid w:val="004A3AEE"/>
    <w:rsid w:val="004A40AB"/>
    <w:rsid w:val="004A4377"/>
    <w:rsid w:val="004A4A20"/>
    <w:rsid w:val="004A57EB"/>
    <w:rsid w:val="004A5824"/>
    <w:rsid w:val="004A6766"/>
    <w:rsid w:val="004A6BB7"/>
    <w:rsid w:val="004A7271"/>
    <w:rsid w:val="004A732D"/>
    <w:rsid w:val="004B00C1"/>
    <w:rsid w:val="004B109A"/>
    <w:rsid w:val="004B1CAB"/>
    <w:rsid w:val="004B26FC"/>
    <w:rsid w:val="004B36ED"/>
    <w:rsid w:val="004B509E"/>
    <w:rsid w:val="004B5171"/>
    <w:rsid w:val="004B612E"/>
    <w:rsid w:val="004B623B"/>
    <w:rsid w:val="004B65C8"/>
    <w:rsid w:val="004B6684"/>
    <w:rsid w:val="004C000A"/>
    <w:rsid w:val="004C108E"/>
    <w:rsid w:val="004C2FC0"/>
    <w:rsid w:val="004C343E"/>
    <w:rsid w:val="004C3E02"/>
    <w:rsid w:val="004C422D"/>
    <w:rsid w:val="004C4CEB"/>
    <w:rsid w:val="004C600A"/>
    <w:rsid w:val="004C7330"/>
    <w:rsid w:val="004C76D6"/>
    <w:rsid w:val="004D000F"/>
    <w:rsid w:val="004D30C1"/>
    <w:rsid w:val="004D395A"/>
    <w:rsid w:val="004D3FC8"/>
    <w:rsid w:val="004D4AE0"/>
    <w:rsid w:val="004D4CB7"/>
    <w:rsid w:val="004D6713"/>
    <w:rsid w:val="004D7A6D"/>
    <w:rsid w:val="004D7BF4"/>
    <w:rsid w:val="004D7C92"/>
    <w:rsid w:val="004E0DF6"/>
    <w:rsid w:val="004E1A92"/>
    <w:rsid w:val="004E38B2"/>
    <w:rsid w:val="004E3936"/>
    <w:rsid w:val="004E4337"/>
    <w:rsid w:val="004E4B96"/>
    <w:rsid w:val="004E53D3"/>
    <w:rsid w:val="004E57F7"/>
    <w:rsid w:val="004E59C9"/>
    <w:rsid w:val="004E5D9C"/>
    <w:rsid w:val="004E6B8E"/>
    <w:rsid w:val="004F0543"/>
    <w:rsid w:val="004F1284"/>
    <w:rsid w:val="004F18C0"/>
    <w:rsid w:val="004F1A86"/>
    <w:rsid w:val="004F3DB4"/>
    <w:rsid w:val="004F5008"/>
    <w:rsid w:val="004F7939"/>
    <w:rsid w:val="0050074A"/>
    <w:rsid w:val="00500F7A"/>
    <w:rsid w:val="005012AD"/>
    <w:rsid w:val="005027BB"/>
    <w:rsid w:val="005037E1"/>
    <w:rsid w:val="00503B5C"/>
    <w:rsid w:val="005043EB"/>
    <w:rsid w:val="005044CE"/>
    <w:rsid w:val="0050456A"/>
    <w:rsid w:val="00504656"/>
    <w:rsid w:val="0050468D"/>
    <w:rsid w:val="00506898"/>
    <w:rsid w:val="005068E1"/>
    <w:rsid w:val="005077C5"/>
    <w:rsid w:val="00510408"/>
    <w:rsid w:val="005109C3"/>
    <w:rsid w:val="00511195"/>
    <w:rsid w:val="0051168A"/>
    <w:rsid w:val="005117F4"/>
    <w:rsid w:val="005122F4"/>
    <w:rsid w:val="005144EA"/>
    <w:rsid w:val="005156A6"/>
    <w:rsid w:val="00516329"/>
    <w:rsid w:val="00516393"/>
    <w:rsid w:val="00517043"/>
    <w:rsid w:val="0052007F"/>
    <w:rsid w:val="00520B4F"/>
    <w:rsid w:val="00521564"/>
    <w:rsid w:val="00521B4C"/>
    <w:rsid w:val="00522676"/>
    <w:rsid w:val="005235D9"/>
    <w:rsid w:val="005237EF"/>
    <w:rsid w:val="00523C2B"/>
    <w:rsid w:val="00524AD7"/>
    <w:rsid w:val="00524C26"/>
    <w:rsid w:val="00524C32"/>
    <w:rsid w:val="00525DB9"/>
    <w:rsid w:val="0052663D"/>
    <w:rsid w:val="00526E0D"/>
    <w:rsid w:val="0052720F"/>
    <w:rsid w:val="005273E0"/>
    <w:rsid w:val="005279E8"/>
    <w:rsid w:val="00527D13"/>
    <w:rsid w:val="00527D36"/>
    <w:rsid w:val="0053016F"/>
    <w:rsid w:val="00531492"/>
    <w:rsid w:val="00531D55"/>
    <w:rsid w:val="005328A8"/>
    <w:rsid w:val="00532ED1"/>
    <w:rsid w:val="00532F2C"/>
    <w:rsid w:val="0053310C"/>
    <w:rsid w:val="00533398"/>
    <w:rsid w:val="005334C3"/>
    <w:rsid w:val="00533920"/>
    <w:rsid w:val="005339E4"/>
    <w:rsid w:val="00533CB7"/>
    <w:rsid w:val="00534E28"/>
    <w:rsid w:val="00535324"/>
    <w:rsid w:val="0053573B"/>
    <w:rsid w:val="00536259"/>
    <w:rsid w:val="00536ED2"/>
    <w:rsid w:val="00540D94"/>
    <w:rsid w:val="00540DBF"/>
    <w:rsid w:val="0054195D"/>
    <w:rsid w:val="00542074"/>
    <w:rsid w:val="0054216F"/>
    <w:rsid w:val="0054217F"/>
    <w:rsid w:val="00542F18"/>
    <w:rsid w:val="0054343C"/>
    <w:rsid w:val="00544853"/>
    <w:rsid w:val="005450E2"/>
    <w:rsid w:val="00545A44"/>
    <w:rsid w:val="00546BC1"/>
    <w:rsid w:val="00547A40"/>
    <w:rsid w:val="0055232C"/>
    <w:rsid w:val="00552B34"/>
    <w:rsid w:val="00553A3A"/>
    <w:rsid w:val="005553F2"/>
    <w:rsid w:val="00556A77"/>
    <w:rsid w:val="0055764E"/>
    <w:rsid w:val="00557F1E"/>
    <w:rsid w:val="00560528"/>
    <w:rsid w:val="005605FD"/>
    <w:rsid w:val="005608A8"/>
    <w:rsid w:val="00560DB7"/>
    <w:rsid w:val="005612FA"/>
    <w:rsid w:val="00561923"/>
    <w:rsid w:val="00562E53"/>
    <w:rsid w:val="0056310A"/>
    <w:rsid w:val="0056336F"/>
    <w:rsid w:val="0056404F"/>
    <w:rsid w:val="005652BF"/>
    <w:rsid w:val="0056739F"/>
    <w:rsid w:val="005674E9"/>
    <w:rsid w:val="00567598"/>
    <w:rsid w:val="00567871"/>
    <w:rsid w:val="0057069E"/>
    <w:rsid w:val="005707FC"/>
    <w:rsid w:val="00571319"/>
    <w:rsid w:val="00571D59"/>
    <w:rsid w:val="00572093"/>
    <w:rsid w:val="00572E3E"/>
    <w:rsid w:val="005738C0"/>
    <w:rsid w:val="0057420B"/>
    <w:rsid w:val="00576A27"/>
    <w:rsid w:val="00577D0E"/>
    <w:rsid w:val="00580280"/>
    <w:rsid w:val="0058135A"/>
    <w:rsid w:val="005819F7"/>
    <w:rsid w:val="00582E04"/>
    <w:rsid w:val="00582E97"/>
    <w:rsid w:val="00584058"/>
    <w:rsid w:val="00584A06"/>
    <w:rsid w:val="005851E0"/>
    <w:rsid w:val="00585571"/>
    <w:rsid w:val="00585B91"/>
    <w:rsid w:val="00586BF1"/>
    <w:rsid w:val="00587277"/>
    <w:rsid w:val="00587967"/>
    <w:rsid w:val="005901D0"/>
    <w:rsid w:val="005903E4"/>
    <w:rsid w:val="0059059E"/>
    <w:rsid w:val="005909BC"/>
    <w:rsid w:val="00590C1C"/>
    <w:rsid w:val="00591270"/>
    <w:rsid w:val="0059285E"/>
    <w:rsid w:val="00593F17"/>
    <w:rsid w:val="00595068"/>
    <w:rsid w:val="005950D6"/>
    <w:rsid w:val="00595F05"/>
    <w:rsid w:val="00596F41"/>
    <w:rsid w:val="0059751C"/>
    <w:rsid w:val="00597919"/>
    <w:rsid w:val="005A0B9F"/>
    <w:rsid w:val="005A10CF"/>
    <w:rsid w:val="005A21A5"/>
    <w:rsid w:val="005A2A3A"/>
    <w:rsid w:val="005A327C"/>
    <w:rsid w:val="005A4E76"/>
    <w:rsid w:val="005A5C96"/>
    <w:rsid w:val="005A63D8"/>
    <w:rsid w:val="005A65D0"/>
    <w:rsid w:val="005A6BC7"/>
    <w:rsid w:val="005A7877"/>
    <w:rsid w:val="005A7CE1"/>
    <w:rsid w:val="005A7DBE"/>
    <w:rsid w:val="005B0D7A"/>
    <w:rsid w:val="005B3606"/>
    <w:rsid w:val="005B406B"/>
    <w:rsid w:val="005B49B6"/>
    <w:rsid w:val="005B6CBE"/>
    <w:rsid w:val="005B7733"/>
    <w:rsid w:val="005B7A22"/>
    <w:rsid w:val="005C01AE"/>
    <w:rsid w:val="005C0602"/>
    <w:rsid w:val="005C1B51"/>
    <w:rsid w:val="005C1BC0"/>
    <w:rsid w:val="005C40C7"/>
    <w:rsid w:val="005C5437"/>
    <w:rsid w:val="005C57A8"/>
    <w:rsid w:val="005C6D0A"/>
    <w:rsid w:val="005D1CB1"/>
    <w:rsid w:val="005D2E43"/>
    <w:rsid w:val="005D4309"/>
    <w:rsid w:val="005D496F"/>
    <w:rsid w:val="005D4CF7"/>
    <w:rsid w:val="005D4E56"/>
    <w:rsid w:val="005D5347"/>
    <w:rsid w:val="005D5CC5"/>
    <w:rsid w:val="005D61EA"/>
    <w:rsid w:val="005D787B"/>
    <w:rsid w:val="005D7B2B"/>
    <w:rsid w:val="005E04B5"/>
    <w:rsid w:val="005E04FD"/>
    <w:rsid w:val="005E12BE"/>
    <w:rsid w:val="005E19E6"/>
    <w:rsid w:val="005E38DE"/>
    <w:rsid w:val="005E3BA3"/>
    <w:rsid w:val="005E3FDD"/>
    <w:rsid w:val="005E474F"/>
    <w:rsid w:val="005E6446"/>
    <w:rsid w:val="005E7A8C"/>
    <w:rsid w:val="005E7ECB"/>
    <w:rsid w:val="005F04BD"/>
    <w:rsid w:val="005F12A0"/>
    <w:rsid w:val="005F1D35"/>
    <w:rsid w:val="005F2EA8"/>
    <w:rsid w:val="005F495E"/>
    <w:rsid w:val="005F64C6"/>
    <w:rsid w:val="005F784E"/>
    <w:rsid w:val="005F79D7"/>
    <w:rsid w:val="006008F1"/>
    <w:rsid w:val="00601735"/>
    <w:rsid w:val="00601EE4"/>
    <w:rsid w:val="00602761"/>
    <w:rsid w:val="00602BD2"/>
    <w:rsid w:val="00603287"/>
    <w:rsid w:val="0060563E"/>
    <w:rsid w:val="00605C53"/>
    <w:rsid w:val="00606BC4"/>
    <w:rsid w:val="006071CB"/>
    <w:rsid w:val="00607805"/>
    <w:rsid w:val="006105FE"/>
    <w:rsid w:val="00610866"/>
    <w:rsid w:val="0061104C"/>
    <w:rsid w:val="00612CDF"/>
    <w:rsid w:val="00613C47"/>
    <w:rsid w:val="00614213"/>
    <w:rsid w:val="00615021"/>
    <w:rsid w:val="006158A2"/>
    <w:rsid w:val="00615D53"/>
    <w:rsid w:val="00616201"/>
    <w:rsid w:val="00616225"/>
    <w:rsid w:val="00617A8B"/>
    <w:rsid w:val="00620F9D"/>
    <w:rsid w:val="0062180A"/>
    <w:rsid w:val="00621904"/>
    <w:rsid w:val="00621E76"/>
    <w:rsid w:val="00622E15"/>
    <w:rsid w:val="00622FEA"/>
    <w:rsid w:val="00623CDF"/>
    <w:rsid w:val="00623DB1"/>
    <w:rsid w:val="00623DD6"/>
    <w:rsid w:val="00623E83"/>
    <w:rsid w:val="006245F3"/>
    <w:rsid w:val="00625A01"/>
    <w:rsid w:val="006260C2"/>
    <w:rsid w:val="00626576"/>
    <w:rsid w:val="0063046D"/>
    <w:rsid w:val="006304F9"/>
    <w:rsid w:val="0063057A"/>
    <w:rsid w:val="006319CA"/>
    <w:rsid w:val="00632820"/>
    <w:rsid w:val="0063410F"/>
    <w:rsid w:val="00634EC0"/>
    <w:rsid w:val="0063627F"/>
    <w:rsid w:val="00636CBB"/>
    <w:rsid w:val="0063758C"/>
    <w:rsid w:val="006425D2"/>
    <w:rsid w:val="00642D72"/>
    <w:rsid w:val="006440DC"/>
    <w:rsid w:val="006443CB"/>
    <w:rsid w:val="00644F80"/>
    <w:rsid w:val="00645874"/>
    <w:rsid w:val="006462C2"/>
    <w:rsid w:val="00646AD4"/>
    <w:rsid w:val="00650271"/>
    <w:rsid w:val="006508BE"/>
    <w:rsid w:val="006508FE"/>
    <w:rsid w:val="0065106B"/>
    <w:rsid w:val="00651A9A"/>
    <w:rsid w:val="00651ADF"/>
    <w:rsid w:val="006520E4"/>
    <w:rsid w:val="0065291D"/>
    <w:rsid w:val="00652FDF"/>
    <w:rsid w:val="00653099"/>
    <w:rsid w:val="00654162"/>
    <w:rsid w:val="006548B8"/>
    <w:rsid w:val="006550AD"/>
    <w:rsid w:val="00655208"/>
    <w:rsid w:val="006569DD"/>
    <w:rsid w:val="0065726E"/>
    <w:rsid w:val="006572FD"/>
    <w:rsid w:val="00661902"/>
    <w:rsid w:val="00661918"/>
    <w:rsid w:val="0066258D"/>
    <w:rsid w:val="00662807"/>
    <w:rsid w:val="00662A5A"/>
    <w:rsid w:val="00662FB7"/>
    <w:rsid w:val="006636D0"/>
    <w:rsid w:val="00665150"/>
    <w:rsid w:val="006653D7"/>
    <w:rsid w:val="00665680"/>
    <w:rsid w:val="00665F42"/>
    <w:rsid w:val="006660A5"/>
    <w:rsid w:val="006663B6"/>
    <w:rsid w:val="006665BA"/>
    <w:rsid w:val="006668D6"/>
    <w:rsid w:val="00666A4F"/>
    <w:rsid w:val="00667D28"/>
    <w:rsid w:val="006703D9"/>
    <w:rsid w:val="006708EA"/>
    <w:rsid w:val="00670DD0"/>
    <w:rsid w:val="006714C8"/>
    <w:rsid w:val="00671906"/>
    <w:rsid w:val="006725DA"/>
    <w:rsid w:val="00672FAA"/>
    <w:rsid w:val="00673070"/>
    <w:rsid w:val="006737D1"/>
    <w:rsid w:val="0067527F"/>
    <w:rsid w:val="00677AD6"/>
    <w:rsid w:val="00680936"/>
    <w:rsid w:val="00680D8C"/>
    <w:rsid w:val="006818BA"/>
    <w:rsid w:val="0068207B"/>
    <w:rsid w:val="00682725"/>
    <w:rsid w:val="0068272B"/>
    <w:rsid w:val="00682ED3"/>
    <w:rsid w:val="006831A6"/>
    <w:rsid w:val="006838AF"/>
    <w:rsid w:val="00684213"/>
    <w:rsid w:val="0068761F"/>
    <w:rsid w:val="00687766"/>
    <w:rsid w:val="00690A31"/>
    <w:rsid w:val="0069160B"/>
    <w:rsid w:val="00691DCC"/>
    <w:rsid w:val="0069245E"/>
    <w:rsid w:val="00692582"/>
    <w:rsid w:val="006926BE"/>
    <w:rsid w:val="00693652"/>
    <w:rsid w:val="006939E7"/>
    <w:rsid w:val="00693D3E"/>
    <w:rsid w:val="006942F7"/>
    <w:rsid w:val="00695D94"/>
    <w:rsid w:val="00696195"/>
    <w:rsid w:val="00696B0E"/>
    <w:rsid w:val="00696DBF"/>
    <w:rsid w:val="0069773E"/>
    <w:rsid w:val="00697FE8"/>
    <w:rsid w:val="006A00A0"/>
    <w:rsid w:val="006A18DC"/>
    <w:rsid w:val="006A1BEA"/>
    <w:rsid w:val="006A2150"/>
    <w:rsid w:val="006A241D"/>
    <w:rsid w:val="006A3288"/>
    <w:rsid w:val="006A43E6"/>
    <w:rsid w:val="006A4843"/>
    <w:rsid w:val="006A4A7F"/>
    <w:rsid w:val="006A5305"/>
    <w:rsid w:val="006A69ED"/>
    <w:rsid w:val="006A70BE"/>
    <w:rsid w:val="006A789A"/>
    <w:rsid w:val="006A7EF9"/>
    <w:rsid w:val="006B059F"/>
    <w:rsid w:val="006B0C09"/>
    <w:rsid w:val="006B0C3B"/>
    <w:rsid w:val="006B1F29"/>
    <w:rsid w:val="006B202A"/>
    <w:rsid w:val="006B3B8C"/>
    <w:rsid w:val="006B4E52"/>
    <w:rsid w:val="006B6F32"/>
    <w:rsid w:val="006B7005"/>
    <w:rsid w:val="006B7130"/>
    <w:rsid w:val="006B74B5"/>
    <w:rsid w:val="006C1545"/>
    <w:rsid w:val="006C16B0"/>
    <w:rsid w:val="006C1941"/>
    <w:rsid w:val="006C21A7"/>
    <w:rsid w:val="006C3DC2"/>
    <w:rsid w:val="006C4150"/>
    <w:rsid w:val="006C4872"/>
    <w:rsid w:val="006C5683"/>
    <w:rsid w:val="006C585C"/>
    <w:rsid w:val="006C5E33"/>
    <w:rsid w:val="006C5E48"/>
    <w:rsid w:val="006C6434"/>
    <w:rsid w:val="006C6662"/>
    <w:rsid w:val="006C6CD8"/>
    <w:rsid w:val="006D013F"/>
    <w:rsid w:val="006D017F"/>
    <w:rsid w:val="006D1D3F"/>
    <w:rsid w:val="006D1D58"/>
    <w:rsid w:val="006D253B"/>
    <w:rsid w:val="006D262F"/>
    <w:rsid w:val="006D2945"/>
    <w:rsid w:val="006D3452"/>
    <w:rsid w:val="006D34BE"/>
    <w:rsid w:val="006D4C8F"/>
    <w:rsid w:val="006D566E"/>
    <w:rsid w:val="006D57CB"/>
    <w:rsid w:val="006D5AA9"/>
    <w:rsid w:val="006D6CDD"/>
    <w:rsid w:val="006D6E91"/>
    <w:rsid w:val="006D6EE1"/>
    <w:rsid w:val="006E0079"/>
    <w:rsid w:val="006E16AF"/>
    <w:rsid w:val="006E26CF"/>
    <w:rsid w:val="006E2BF2"/>
    <w:rsid w:val="006E4238"/>
    <w:rsid w:val="006E4FF6"/>
    <w:rsid w:val="006E503D"/>
    <w:rsid w:val="006E5C72"/>
    <w:rsid w:val="006E7404"/>
    <w:rsid w:val="006E7B97"/>
    <w:rsid w:val="006F2627"/>
    <w:rsid w:val="006F2D03"/>
    <w:rsid w:val="006F35B8"/>
    <w:rsid w:val="006F5031"/>
    <w:rsid w:val="006F6060"/>
    <w:rsid w:val="006F6D4C"/>
    <w:rsid w:val="006F6E67"/>
    <w:rsid w:val="006F7157"/>
    <w:rsid w:val="006F78E0"/>
    <w:rsid w:val="00702B1B"/>
    <w:rsid w:val="00703070"/>
    <w:rsid w:val="0070350E"/>
    <w:rsid w:val="00704164"/>
    <w:rsid w:val="0070619F"/>
    <w:rsid w:val="00706A58"/>
    <w:rsid w:val="007110E1"/>
    <w:rsid w:val="00712093"/>
    <w:rsid w:val="007135B1"/>
    <w:rsid w:val="00714394"/>
    <w:rsid w:val="0071466F"/>
    <w:rsid w:val="007148E3"/>
    <w:rsid w:val="00714B40"/>
    <w:rsid w:val="00715A0B"/>
    <w:rsid w:val="007168EA"/>
    <w:rsid w:val="00717429"/>
    <w:rsid w:val="00721C26"/>
    <w:rsid w:val="00721F7E"/>
    <w:rsid w:val="007220A9"/>
    <w:rsid w:val="00722247"/>
    <w:rsid w:val="007222BD"/>
    <w:rsid w:val="007224F7"/>
    <w:rsid w:val="00722E29"/>
    <w:rsid w:val="0072353F"/>
    <w:rsid w:val="007238B5"/>
    <w:rsid w:val="00724606"/>
    <w:rsid w:val="00724E85"/>
    <w:rsid w:val="00726954"/>
    <w:rsid w:val="007271B0"/>
    <w:rsid w:val="007272E0"/>
    <w:rsid w:val="00731391"/>
    <w:rsid w:val="00732151"/>
    <w:rsid w:val="007327EE"/>
    <w:rsid w:val="0073416B"/>
    <w:rsid w:val="00734261"/>
    <w:rsid w:val="0073462C"/>
    <w:rsid w:val="00734887"/>
    <w:rsid w:val="00734DB5"/>
    <w:rsid w:val="007365B6"/>
    <w:rsid w:val="00737271"/>
    <w:rsid w:val="007401E2"/>
    <w:rsid w:val="00740C05"/>
    <w:rsid w:val="007411E5"/>
    <w:rsid w:val="00743A38"/>
    <w:rsid w:val="00745243"/>
    <w:rsid w:val="00746951"/>
    <w:rsid w:val="00746DFA"/>
    <w:rsid w:val="0074791E"/>
    <w:rsid w:val="007501BD"/>
    <w:rsid w:val="0075115D"/>
    <w:rsid w:val="00751A33"/>
    <w:rsid w:val="00752609"/>
    <w:rsid w:val="00753890"/>
    <w:rsid w:val="00753BF6"/>
    <w:rsid w:val="007544DB"/>
    <w:rsid w:val="0075493F"/>
    <w:rsid w:val="007555DF"/>
    <w:rsid w:val="00755B80"/>
    <w:rsid w:val="00755E9E"/>
    <w:rsid w:val="007567E2"/>
    <w:rsid w:val="00757B3C"/>
    <w:rsid w:val="00761434"/>
    <w:rsid w:val="00761FD5"/>
    <w:rsid w:val="007632E4"/>
    <w:rsid w:val="00765DD8"/>
    <w:rsid w:val="00766B01"/>
    <w:rsid w:val="00766D36"/>
    <w:rsid w:val="00767607"/>
    <w:rsid w:val="00773026"/>
    <w:rsid w:val="007732CC"/>
    <w:rsid w:val="00773874"/>
    <w:rsid w:val="00775044"/>
    <w:rsid w:val="007758D9"/>
    <w:rsid w:val="00775A8D"/>
    <w:rsid w:val="007764AC"/>
    <w:rsid w:val="007806A0"/>
    <w:rsid w:val="00780F0B"/>
    <w:rsid w:val="00781935"/>
    <w:rsid w:val="0078243A"/>
    <w:rsid w:val="007840F3"/>
    <w:rsid w:val="00784A6E"/>
    <w:rsid w:val="00785491"/>
    <w:rsid w:val="007858C0"/>
    <w:rsid w:val="007861D5"/>
    <w:rsid w:val="00786395"/>
    <w:rsid w:val="0078679A"/>
    <w:rsid w:val="00786B7F"/>
    <w:rsid w:val="00786CBC"/>
    <w:rsid w:val="00792447"/>
    <w:rsid w:val="007925BE"/>
    <w:rsid w:val="0079283E"/>
    <w:rsid w:val="007949A9"/>
    <w:rsid w:val="007949F1"/>
    <w:rsid w:val="00795D40"/>
    <w:rsid w:val="0079694C"/>
    <w:rsid w:val="007A0FE0"/>
    <w:rsid w:val="007A17D1"/>
    <w:rsid w:val="007A2094"/>
    <w:rsid w:val="007A2ABF"/>
    <w:rsid w:val="007A44FB"/>
    <w:rsid w:val="007A47AA"/>
    <w:rsid w:val="007A4A53"/>
    <w:rsid w:val="007A4E17"/>
    <w:rsid w:val="007A598C"/>
    <w:rsid w:val="007A7F6D"/>
    <w:rsid w:val="007B0FBD"/>
    <w:rsid w:val="007B1BAF"/>
    <w:rsid w:val="007B35F7"/>
    <w:rsid w:val="007B4F72"/>
    <w:rsid w:val="007B5685"/>
    <w:rsid w:val="007B580C"/>
    <w:rsid w:val="007C0E04"/>
    <w:rsid w:val="007C19DD"/>
    <w:rsid w:val="007C2827"/>
    <w:rsid w:val="007C33E9"/>
    <w:rsid w:val="007C381E"/>
    <w:rsid w:val="007C3A26"/>
    <w:rsid w:val="007C3C30"/>
    <w:rsid w:val="007C3D64"/>
    <w:rsid w:val="007C45D9"/>
    <w:rsid w:val="007C4CE1"/>
    <w:rsid w:val="007C5899"/>
    <w:rsid w:val="007C597D"/>
    <w:rsid w:val="007C74E5"/>
    <w:rsid w:val="007C75A8"/>
    <w:rsid w:val="007C7983"/>
    <w:rsid w:val="007C7F57"/>
    <w:rsid w:val="007D0E43"/>
    <w:rsid w:val="007D13BC"/>
    <w:rsid w:val="007D13E7"/>
    <w:rsid w:val="007D14DB"/>
    <w:rsid w:val="007D1E37"/>
    <w:rsid w:val="007D262A"/>
    <w:rsid w:val="007D2BBF"/>
    <w:rsid w:val="007D3881"/>
    <w:rsid w:val="007D3940"/>
    <w:rsid w:val="007D549A"/>
    <w:rsid w:val="007D563E"/>
    <w:rsid w:val="007D5B87"/>
    <w:rsid w:val="007D5FC1"/>
    <w:rsid w:val="007D715A"/>
    <w:rsid w:val="007E0956"/>
    <w:rsid w:val="007E0E9E"/>
    <w:rsid w:val="007E1760"/>
    <w:rsid w:val="007E1FF3"/>
    <w:rsid w:val="007E202D"/>
    <w:rsid w:val="007E21FB"/>
    <w:rsid w:val="007E2D84"/>
    <w:rsid w:val="007E3035"/>
    <w:rsid w:val="007E39AB"/>
    <w:rsid w:val="007E420B"/>
    <w:rsid w:val="007E4776"/>
    <w:rsid w:val="007E486F"/>
    <w:rsid w:val="007E4932"/>
    <w:rsid w:val="007E4ED7"/>
    <w:rsid w:val="007E502C"/>
    <w:rsid w:val="007E515C"/>
    <w:rsid w:val="007E5BD7"/>
    <w:rsid w:val="007E716D"/>
    <w:rsid w:val="007E75F0"/>
    <w:rsid w:val="007E7968"/>
    <w:rsid w:val="007F013A"/>
    <w:rsid w:val="007F12A9"/>
    <w:rsid w:val="007F296C"/>
    <w:rsid w:val="007F2D90"/>
    <w:rsid w:val="007F2E3A"/>
    <w:rsid w:val="007F30D9"/>
    <w:rsid w:val="007F4F82"/>
    <w:rsid w:val="007F5E16"/>
    <w:rsid w:val="007F643D"/>
    <w:rsid w:val="00802FF0"/>
    <w:rsid w:val="00803B66"/>
    <w:rsid w:val="00804653"/>
    <w:rsid w:val="00804B8E"/>
    <w:rsid w:val="008055AD"/>
    <w:rsid w:val="00806023"/>
    <w:rsid w:val="00806A84"/>
    <w:rsid w:val="00807C6C"/>
    <w:rsid w:val="00810B5A"/>
    <w:rsid w:val="00811015"/>
    <w:rsid w:val="00811730"/>
    <w:rsid w:val="008128FD"/>
    <w:rsid w:val="00812CF9"/>
    <w:rsid w:val="00812D64"/>
    <w:rsid w:val="0081340B"/>
    <w:rsid w:val="0081632D"/>
    <w:rsid w:val="0081661F"/>
    <w:rsid w:val="0081666C"/>
    <w:rsid w:val="00817BB4"/>
    <w:rsid w:val="00821021"/>
    <w:rsid w:val="0082103F"/>
    <w:rsid w:val="0082139E"/>
    <w:rsid w:val="008214BB"/>
    <w:rsid w:val="00821B58"/>
    <w:rsid w:val="00822D4E"/>
    <w:rsid w:val="00823D35"/>
    <w:rsid w:val="00826522"/>
    <w:rsid w:val="00826557"/>
    <w:rsid w:val="00826F4C"/>
    <w:rsid w:val="00827D99"/>
    <w:rsid w:val="00834991"/>
    <w:rsid w:val="00836912"/>
    <w:rsid w:val="008377DA"/>
    <w:rsid w:val="00837F63"/>
    <w:rsid w:val="008401A7"/>
    <w:rsid w:val="00841BF7"/>
    <w:rsid w:val="008438B2"/>
    <w:rsid w:val="00843D9C"/>
    <w:rsid w:val="008450A3"/>
    <w:rsid w:val="008454CB"/>
    <w:rsid w:val="0084599A"/>
    <w:rsid w:val="008459B2"/>
    <w:rsid w:val="00845A15"/>
    <w:rsid w:val="0084632F"/>
    <w:rsid w:val="00846DBF"/>
    <w:rsid w:val="0085050F"/>
    <w:rsid w:val="00851AB5"/>
    <w:rsid w:val="00853025"/>
    <w:rsid w:val="008537F3"/>
    <w:rsid w:val="0085454C"/>
    <w:rsid w:val="00854658"/>
    <w:rsid w:val="00854D98"/>
    <w:rsid w:val="00854FDF"/>
    <w:rsid w:val="00855B06"/>
    <w:rsid w:val="00855EF0"/>
    <w:rsid w:val="00856C82"/>
    <w:rsid w:val="00857D29"/>
    <w:rsid w:val="00857D62"/>
    <w:rsid w:val="00857F75"/>
    <w:rsid w:val="00862273"/>
    <w:rsid w:val="008629A8"/>
    <w:rsid w:val="00863060"/>
    <w:rsid w:val="008660F7"/>
    <w:rsid w:val="0086732C"/>
    <w:rsid w:val="00870CB6"/>
    <w:rsid w:val="008710E8"/>
    <w:rsid w:val="00871175"/>
    <w:rsid w:val="008712E9"/>
    <w:rsid w:val="00871311"/>
    <w:rsid w:val="008719C0"/>
    <w:rsid w:val="00873514"/>
    <w:rsid w:val="008738A4"/>
    <w:rsid w:val="008738DE"/>
    <w:rsid w:val="00873FEA"/>
    <w:rsid w:val="0087419B"/>
    <w:rsid w:val="00874592"/>
    <w:rsid w:val="00874658"/>
    <w:rsid w:val="008748BD"/>
    <w:rsid w:val="00877936"/>
    <w:rsid w:val="008805C4"/>
    <w:rsid w:val="008818F6"/>
    <w:rsid w:val="008830F5"/>
    <w:rsid w:val="0088398E"/>
    <w:rsid w:val="00885182"/>
    <w:rsid w:val="00885D3A"/>
    <w:rsid w:val="00886AE9"/>
    <w:rsid w:val="00887E02"/>
    <w:rsid w:val="00891106"/>
    <w:rsid w:val="00891286"/>
    <w:rsid w:val="00891AE4"/>
    <w:rsid w:val="00892E01"/>
    <w:rsid w:val="008932AD"/>
    <w:rsid w:val="008932ED"/>
    <w:rsid w:val="0089345F"/>
    <w:rsid w:val="00893479"/>
    <w:rsid w:val="008939F1"/>
    <w:rsid w:val="008942FA"/>
    <w:rsid w:val="008952C4"/>
    <w:rsid w:val="00897121"/>
    <w:rsid w:val="00897197"/>
    <w:rsid w:val="00897A5D"/>
    <w:rsid w:val="008A0B5F"/>
    <w:rsid w:val="008A0D86"/>
    <w:rsid w:val="008A0F53"/>
    <w:rsid w:val="008A1C47"/>
    <w:rsid w:val="008A21BC"/>
    <w:rsid w:val="008A37A4"/>
    <w:rsid w:val="008A39B1"/>
    <w:rsid w:val="008A3ACC"/>
    <w:rsid w:val="008A3C75"/>
    <w:rsid w:val="008A4A77"/>
    <w:rsid w:val="008A4CAF"/>
    <w:rsid w:val="008A5290"/>
    <w:rsid w:val="008A593A"/>
    <w:rsid w:val="008A6C5A"/>
    <w:rsid w:val="008A7142"/>
    <w:rsid w:val="008A7B07"/>
    <w:rsid w:val="008B1573"/>
    <w:rsid w:val="008B2032"/>
    <w:rsid w:val="008B251A"/>
    <w:rsid w:val="008B28C8"/>
    <w:rsid w:val="008B2DF3"/>
    <w:rsid w:val="008B376A"/>
    <w:rsid w:val="008B3842"/>
    <w:rsid w:val="008B38C5"/>
    <w:rsid w:val="008B586D"/>
    <w:rsid w:val="008B6393"/>
    <w:rsid w:val="008B7220"/>
    <w:rsid w:val="008B72EB"/>
    <w:rsid w:val="008B7F33"/>
    <w:rsid w:val="008C005A"/>
    <w:rsid w:val="008C0490"/>
    <w:rsid w:val="008C08A5"/>
    <w:rsid w:val="008C09AC"/>
    <w:rsid w:val="008C0F21"/>
    <w:rsid w:val="008C0FC7"/>
    <w:rsid w:val="008C1DD7"/>
    <w:rsid w:val="008C2E9C"/>
    <w:rsid w:val="008C5770"/>
    <w:rsid w:val="008C62BF"/>
    <w:rsid w:val="008C64E3"/>
    <w:rsid w:val="008C6BA0"/>
    <w:rsid w:val="008C721C"/>
    <w:rsid w:val="008D0D1E"/>
    <w:rsid w:val="008D1B91"/>
    <w:rsid w:val="008D55C2"/>
    <w:rsid w:val="008D5B5A"/>
    <w:rsid w:val="008D62F5"/>
    <w:rsid w:val="008E08A5"/>
    <w:rsid w:val="008E0DC6"/>
    <w:rsid w:val="008E0E2E"/>
    <w:rsid w:val="008E12DD"/>
    <w:rsid w:val="008E14EA"/>
    <w:rsid w:val="008E1E54"/>
    <w:rsid w:val="008E221C"/>
    <w:rsid w:val="008E3232"/>
    <w:rsid w:val="008E3C88"/>
    <w:rsid w:val="008E3F00"/>
    <w:rsid w:val="008E406F"/>
    <w:rsid w:val="008E49B8"/>
    <w:rsid w:val="008E6E1A"/>
    <w:rsid w:val="008E78F2"/>
    <w:rsid w:val="008F0141"/>
    <w:rsid w:val="008F022C"/>
    <w:rsid w:val="008F02A3"/>
    <w:rsid w:val="008F0995"/>
    <w:rsid w:val="008F1073"/>
    <w:rsid w:val="008F1645"/>
    <w:rsid w:val="008F186E"/>
    <w:rsid w:val="008F3041"/>
    <w:rsid w:val="008F3B22"/>
    <w:rsid w:val="008F41E6"/>
    <w:rsid w:val="008F50BF"/>
    <w:rsid w:val="008F683C"/>
    <w:rsid w:val="008F78AB"/>
    <w:rsid w:val="00900634"/>
    <w:rsid w:val="00900DFF"/>
    <w:rsid w:val="00901B80"/>
    <w:rsid w:val="00901DC5"/>
    <w:rsid w:val="00901DE1"/>
    <w:rsid w:val="0090404F"/>
    <w:rsid w:val="0090462F"/>
    <w:rsid w:val="00904FFA"/>
    <w:rsid w:val="009054C8"/>
    <w:rsid w:val="009054E0"/>
    <w:rsid w:val="00905FE7"/>
    <w:rsid w:val="009132A0"/>
    <w:rsid w:val="00913FBB"/>
    <w:rsid w:val="0091444C"/>
    <w:rsid w:val="00914712"/>
    <w:rsid w:val="00917181"/>
    <w:rsid w:val="0091746C"/>
    <w:rsid w:val="00920115"/>
    <w:rsid w:val="009207DB"/>
    <w:rsid w:val="00920C8C"/>
    <w:rsid w:val="00921CFE"/>
    <w:rsid w:val="00922024"/>
    <w:rsid w:val="00922823"/>
    <w:rsid w:val="00923D4B"/>
    <w:rsid w:val="0092443A"/>
    <w:rsid w:val="00925501"/>
    <w:rsid w:val="00925B05"/>
    <w:rsid w:val="00926982"/>
    <w:rsid w:val="00926C15"/>
    <w:rsid w:val="00926FAC"/>
    <w:rsid w:val="009270C4"/>
    <w:rsid w:val="00927DA8"/>
    <w:rsid w:val="009318AF"/>
    <w:rsid w:val="00934401"/>
    <w:rsid w:val="00934621"/>
    <w:rsid w:val="00934EDC"/>
    <w:rsid w:val="00935451"/>
    <w:rsid w:val="0093584C"/>
    <w:rsid w:val="00935C0B"/>
    <w:rsid w:val="0093740F"/>
    <w:rsid w:val="00937B4A"/>
    <w:rsid w:val="00937C1D"/>
    <w:rsid w:val="00940FC3"/>
    <w:rsid w:val="0094131D"/>
    <w:rsid w:val="00942120"/>
    <w:rsid w:val="009425F7"/>
    <w:rsid w:val="00943915"/>
    <w:rsid w:val="00943F91"/>
    <w:rsid w:val="00944BF0"/>
    <w:rsid w:val="00946136"/>
    <w:rsid w:val="00946C18"/>
    <w:rsid w:val="00947046"/>
    <w:rsid w:val="00947EFF"/>
    <w:rsid w:val="009525B4"/>
    <w:rsid w:val="00952842"/>
    <w:rsid w:val="00953665"/>
    <w:rsid w:val="00954282"/>
    <w:rsid w:val="00954427"/>
    <w:rsid w:val="009551C4"/>
    <w:rsid w:val="00956683"/>
    <w:rsid w:val="0095774E"/>
    <w:rsid w:val="00961A44"/>
    <w:rsid w:val="00961FC7"/>
    <w:rsid w:val="0096286D"/>
    <w:rsid w:val="0096299B"/>
    <w:rsid w:val="00965047"/>
    <w:rsid w:val="009660A0"/>
    <w:rsid w:val="00967653"/>
    <w:rsid w:val="0096797D"/>
    <w:rsid w:val="00973A49"/>
    <w:rsid w:val="00974307"/>
    <w:rsid w:val="00975C75"/>
    <w:rsid w:val="009803BA"/>
    <w:rsid w:val="00980C81"/>
    <w:rsid w:val="0098177A"/>
    <w:rsid w:val="00981997"/>
    <w:rsid w:val="009820D6"/>
    <w:rsid w:val="009828B2"/>
    <w:rsid w:val="00982B87"/>
    <w:rsid w:val="00983EFD"/>
    <w:rsid w:val="00984752"/>
    <w:rsid w:val="00984C3D"/>
    <w:rsid w:val="00984C56"/>
    <w:rsid w:val="009854B6"/>
    <w:rsid w:val="00986257"/>
    <w:rsid w:val="00986861"/>
    <w:rsid w:val="0098687F"/>
    <w:rsid w:val="009868C9"/>
    <w:rsid w:val="00986ECF"/>
    <w:rsid w:val="00987CBC"/>
    <w:rsid w:val="00987D5B"/>
    <w:rsid w:val="00990028"/>
    <w:rsid w:val="00992A50"/>
    <w:rsid w:val="00992B61"/>
    <w:rsid w:val="00992E69"/>
    <w:rsid w:val="009930A8"/>
    <w:rsid w:val="0099376D"/>
    <w:rsid w:val="00993A2E"/>
    <w:rsid w:val="00995768"/>
    <w:rsid w:val="00995A13"/>
    <w:rsid w:val="0099600F"/>
    <w:rsid w:val="00996326"/>
    <w:rsid w:val="00996ECF"/>
    <w:rsid w:val="009A07D5"/>
    <w:rsid w:val="009A2A69"/>
    <w:rsid w:val="009A301D"/>
    <w:rsid w:val="009A3970"/>
    <w:rsid w:val="009A44E8"/>
    <w:rsid w:val="009A5710"/>
    <w:rsid w:val="009A5D17"/>
    <w:rsid w:val="009A7A4C"/>
    <w:rsid w:val="009B0816"/>
    <w:rsid w:val="009B1348"/>
    <w:rsid w:val="009B1DA5"/>
    <w:rsid w:val="009B1DB7"/>
    <w:rsid w:val="009B28FD"/>
    <w:rsid w:val="009B29DE"/>
    <w:rsid w:val="009B2AD6"/>
    <w:rsid w:val="009B5594"/>
    <w:rsid w:val="009B5D88"/>
    <w:rsid w:val="009B684B"/>
    <w:rsid w:val="009B6AF2"/>
    <w:rsid w:val="009B729E"/>
    <w:rsid w:val="009B7498"/>
    <w:rsid w:val="009B7DB5"/>
    <w:rsid w:val="009B7F41"/>
    <w:rsid w:val="009C0C9B"/>
    <w:rsid w:val="009C14AD"/>
    <w:rsid w:val="009C1D37"/>
    <w:rsid w:val="009C3D84"/>
    <w:rsid w:val="009C4DD7"/>
    <w:rsid w:val="009C5B08"/>
    <w:rsid w:val="009C5C46"/>
    <w:rsid w:val="009C5FDE"/>
    <w:rsid w:val="009C7B1D"/>
    <w:rsid w:val="009C7FE8"/>
    <w:rsid w:val="009D0267"/>
    <w:rsid w:val="009D03F1"/>
    <w:rsid w:val="009D0B47"/>
    <w:rsid w:val="009D14D6"/>
    <w:rsid w:val="009D1CF4"/>
    <w:rsid w:val="009D2332"/>
    <w:rsid w:val="009D234F"/>
    <w:rsid w:val="009D330B"/>
    <w:rsid w:val="009D3531"/>
    <w:rsid w:val="009D380F"/>
    <w:rsid w:val="009D496C"/>
    <w:rsid w:val="009D4B1A"/>
    <w:rsid w:val="009D57A7"/>
    <w:rsid w:val="009D5BA4"/>
    <w:rsid w:val="009D6D94"/>
    <w:rsid w:val="009D7B0D"/>
    <w:rsid w:val="009D7B51"/>
    <w:rsid w:val="009E06D3"/>
    <w:rsid w:val="009E0CBE"/>
    <w:rsid w:val="009E12A9"/>
    <w:rsid w:val="009E16FB"/>
    <w:rsid w:val="009E5690"/>
    <w:rsid w:val="009E6DD0"/>
    <w:rsid w:val="009E735E"/>
    <w:rsid w:val="009E7C0E"/>
    <w:rsid w:val="009F0429"/>
    <w:rsid w:val="009F070B"/>
    <w:rsid w:val="009F07F4"/>
    <w:rsid w:val="009F0BD9"/>
    <w:rsid w:val="009F19A9"/>
    <w:rsid w:val="009F1FEA"/>
    <w:rsid w:val="009F2035"/>
    <w:rsid w:val="009F33FA"/>
    <w:rsid w:val="009F43D2"/>
    <w:rsid w:val="009F5324"/>
    <w:rsid w:val="009F62C8"/>
    <w:rsid w:val="009F7E4E"/>
    <w:rsid w:val="00A0030D"/>
    <w:rsid w:val="00A0112A"/>
    <w:rsid w:val="00A01C1F"/>
    <w:rsid w:val="00A01C98"/>
    <w:rsid w:val="00A020BD"/>
    <w:rsid w:val="00A0312F"/>
    <w:rsid w:val="00A031E0"/>
    <w:rsid w:val="00A0422D"/>
    <w:rsid w:val="00A04617"/>
    <w:rsid w:val="00A06A54"/>
    <w:rsid w:val="00A07FE0"/>
    <w:rsid w:val="00A10423"/>
    <w:rsid w:val="00A12D4C"/>
    <w:rsid w:val="00A14073"/>
    <w:rsid w:val="00A148F4"/>
    <w:rsid w:val="00A15966"/>
    <w:rsid w:val="00A15A52"/>
    <w:rsid w:val="00A16D3D"/>
    <w:rsid w:val="00A17351"/>
    <w:rsid w:val="00A174BA"/>
    <w:rsid w:val="00A17E5D"/>
    <w:rsid w:val="00A2237C"/>
    <w:rsid w:val="00A23910"/>
    <w:rsid w:val="00A239C7"/>
    <w:rsid w:val="00A25157"/>
    <w:rsid w:val="00A251DE"/>
    <w:rsid w:val="00A254B2"/>
    <w:rsid w:val="00A25CD0"/>
    <w:rsid w:val="00A25D45"/>
    <w:rsid w:val="00A26031"/>
    <w:rsid w:val="00A261F6"/>
    <w:rsid w:val="00A26276"/>
    <w:rsid w:val="00A26A07"/>
    <w:rsid w:val="00A276FF"/>
    <w:rsid w:val="00A27CD7"/>
    <w:rsid w:val="00A30F3E"/>
    <w:rsid w:val="00A31538"/>
    <w:rsid w:val="00A31ECA"/>
    <w:rsid w:val="00A321C8"/>
    <w:rsid w:val="00A32211"/>
    <w:rsid w:val="00A324EA"/>
    <w:rsid w:val="00A328BB"/>
    <w:rsid w:val="00A33395"/>
    <w:rsid w:val="00A338A8"/>
    <w:rsid w:val="00A34114"/>
    <w:rsid w:val="00A34192"/>
    <w:rsid w:val="00A34B8B"/>
    <w:rsid w:val="00A34C81"/>
    <w:rsid w:val="00A34E19"/>
    <w:rsid w:val="00A3562E"/>
    <w:rsid w:val="00A3576A"/>
    <w:rsid w:val="00A36DD4"/>
    <w:rsid w:val="00A40D0C"/>
    <w:rsid w:val="00A41302"/>
    <w:rsid w:val="00A419FF"/>
    <w:rsid w:val="00A41C59"/>
    <w:rsid w:val="00A41F0F"/>
    <w:rsid w:val="00A4226D"/>
    <w:rsid w:val="00A47029"/>
    <w:rsid w:val="00A4791E"/>
    <w:rsid w:val="00A50299"/>
    <w:rsid w:val="00A507F7"/>
    <w:rsid w:val="00A50B13"/>
    <w:rsid w:val="00A5141D"/>
    <w:rsid w:val="00A51846"/>
    <w:rsid w:val="00A51B7B"/>
    <w:rsid w:val="00A51F41"/>
    <w:rsid w:val="00A52645"/>
    <w:rsid w:val="00A52DC5"/>
    <w:rsid w:val="00A54993"/>
    <w:rsid w:val="00A5510E"/>
    <w:rsid w:val="00A55476"/>
    <w:rsid w:val="00A559F4"/>
    <w:rsid w:val="00A56547"/>
    <w:rsid w:val="00A570E0"/>
    <w:rsid w:val="00A57897"/>
    <w:rsid w:val="00A57DBB"/>
    <w:rsid w:val="00A606A0"/>
    <w:rsid w:val="00A60A64"/>
    <w:rsid w:val="00A61263"/>
    <w:rsid w:val="00A614AD"/>
    <w:rsid w:val="00A61607"/>
    <w:rsid w:val="00A61886"/>
    <w:rsid w:val="00A61DBA"/>
    <w:rsid w:val="00A6398D"/>
    <w:rsid w:val="00A63D89"/>
    <w:rsid w:val="00A645A2"/>
    <w:rsid w:val="00A65127"/>
    <w:rsid w:val="00A6662E"/>
    <w:rsid w:val="00A66E04"/>
    <w:rsid w:val="00A671B3"/>
    <w:rsid w:val="00A67DA1"/>
    <w:rsid w:val="00A70320"/>
    <w:rsid w:val="00A70620"/>
    <w:rsid w:val="00A709C8"/>
    <w:rsid w:val="00A709FA"/>
    <w:rsid w:val="00A71528"/>
    <w:rsid w:val="00A7207E"/>
    <w:rsid w:val="00A738B8"/>
    <w:rsid w:val="00A750C1"/>
    <w:rsid w:val="00A76063"/>
    <w:rsid w:val="00A765A3"/>
    <w:rsid w:val="00A76BCE"/>
    <w:rsid w:val="00A77139"/>
    <w:rsid w:val="00A771BF"/>
    <w:rsid w:val="00A8052C"/>
    <w:rsid w:val="00A80AAC"/>
    <w:rsid w:val="00A80C37"/>
    <w:rsid w:val="00A8157B"/>
    <w:rsid w:val="00A817A6"/>
    <w:rsid w:val="00A81953"/>
    <w:rsid w:val="00A81D64"/>
    <w:rsid w:val="00A821E0"/>
    <w:rsid w:val="00A8385C"/>
    <w:rsid w:val="00A83B2D"/>
    <w:rsid w:val="00A83CBF"/>
    <w:rsid w:val="00A83DEB"/>
    <w:rsid w:val="00A842AB"/>
    <w:rsid w:val="00A8473F"/>
    <w:rsid w:val="00A84AF6"/>
    <w:rsid w:val="00A85703"/>
    <w:rsid w:val="00A861F3"/>
    <w:rsid w:val="00A86777"/>
    <w:rsid w:val="00A87E91"/>
    <w:rsid w:val="00A90566"/>
    <w:rsid w:val="00A90DB1"/>
    <w:rsid w:val="00A9147B"/>
    <w:rsid w:val="00A91BA8"/>
    <w:rsid w:val="00A91DDF"/>
    <w:rsid w:val="00A91EF1"/>
    <w:rsid w:val="00A91EF2"/>
    <w:rsid w:val="00A92DFC"/>
    <w:rsid w:val="00A9325C"/>
    <w:rsid w:val="00A95702"/>
    <w:rsid w:val="00A96FC6"/>
    <w:rsid w:val="00A97AAA"/>
    <w:rsid w:val="00A97B61"/>
    <w:rsid w:val="00AA01A7"/>
    <w:rsid w:val="00AA01DA"/>
    <w:rsid w:val="00AA06A2"/>
    <w:rsid w:val="00AA0EF7"/>
    <w:rsid w:val="00AA223D"/>
    <w:rsid w:val="00AA3077"/>
    <w:rsid w:val="00AA38AF"/>
    <w:rsid w:val="00AA450C"/>
    <w:rsid w:val="00AA45FC"/>
    <w:rsid w:val="00AA4DA5"/>
    <w:rsid w:val="00AA6039"/>
    <w:rsid w:val="00AA60C6"/>
    <w:rsid w:val="00AA6E05"/>
    <w:rsid w:val="00AB1287"/>
    <w:rsid w:val="00AB1CE8"/>
    <w:rsid w:val="00AB21F1"/>
    <w:rsid w:val="00AB360E"/>
    <w:rsid w:val="00AB3A1E"/>
    <w:rsid w:val="00AB507F"/>
    <w:rsid w:val="00AB5B24"/>
    <w:rsid w:val="00AB6DFC"/>
    <w:rsid w:val="00AC1ACD"/>
    <w:rsid w:val="00AC2152"/>
    <w:rsid w:val="00AC3DB7"/>
    <w:rsid w:val="00AC4828"/>
    <w:rsid w:val="00AC50B1"/>
    <w:rsid w:val="00AC741A"/>
    <w:rsid w:val="00AC7899"/>
    <w:rsid w:val="00AD2035"/>
    <w:rsid w:val="00AD2C9F"/>
    <w:rsid w:val="00AD3353"/>
    <w:rsid w:val="00AD4EDC"/>
    <w:rsid w:val="00AD723E"/>
    <w:rsid w:val="00AD752F"/>
    <w:rsid w:val="00AD7C9D"/>
    <w:rsid w:val="00AE1716"/>
    <w:rsid w:val="00AE177C"/>
    <w:rsid w:val="00AE3C4C"/>
    <w:rsid w:val="00AE41F2"/>
    <w:rsid w:val="00AE55BC"/>
    <w:rsid w:val="00AE5F5F"/>
    <w:rsid w:val="00AE654D"/>
    <w:rsid w:val="00AE686D"/>
    <w:rsid w:val="00AE6B27"/>
    <w:rsid w:val="00AE6E4A"/>
    <w:rsid w:val="00AE6F87"/>
    <w:rsid w:val="00AE77AD"/>
    <w:rsid w:val="00AF013A"/>
    <w:rsid w:val="00AF0F96"/>
    <w:rsid w:val="00AF1D04"/>
    <w:rsid w:val="00AF1D55"/>
    <w:rsid w:val="00AF21D7"/>
    <w:rsid w:val="00AF28EB"/>
    <w:rsid w:val="00AF306E"/>
    <w:rsid w:val="00AF36B6"/>
    <w:rsid w:val="00AF4715"/>
    <w:rsid w:val="00AF4803"/>
    <w:rsid w:val="00AF4F6A"/>
    <w:rsid w:val="00AF5593"/>
    <w:rsid w:val="00AF5E53"/>
    <w:rsid w:val="00AF62ED"/>
    <w:rsid w:val="00AF6A12"/>
    <w:rsid w:val="00B00369"/>
    <w:rsid w:val="00B00ED5"/>
    <w:rsid w:val="00B01767"/>
    <w:rsid w:val="00B01ED2"/>
    <w:rsid w:val="00B02BF0"/>
    <w:rsid w:val="00B03AB4"/>
    <w:rsid w:val="00B05B91"/>
    <w:rsid w:val="00B0657F"/>
    <w:rsid w:val="00B077CC"/>
    <w:rsid w:val="00B07DCF"/>
    <w:rsid w:val="00B111D6"/>
    <w:rsid w:val="00B1292B"/>
    <w:rsid w:val="00B133B2"/>
    <w:rsid w:val="00B14282"/>
    <w:rsid w:val="00B15731"/>
    <w:rsid w:val="00B1583B"/>
    <w:rsid w:val="00B15BB2"/>
    <w:rsid w:val="00B20134"/>
    <w:rsid w:val="00B21824"/>
    <w:rsid w:val="00B2389D"/>
    <w:rsid w:val="00B239C8"/>
    <w:rsid w:val="00B24ABD"/>
    <w:rsid w:val="00B24DEA"/>
    <w:rsid w:val="00B2524A"/>
    <w:rsid w:val="00B25FF0"/>
    <w:rsid w:val="00B2787C"/>
    <w:rsid w:val="00B27A6D"/>
    <w:rsid w:val="00B31A03"/>
    <w:rsid w:val="00B321E5"/>
    <w:rsid w:val="00B34F22"/>
    <w:rsid w:val="00B350A4"/>
    <w:rsid w:val="00B35B8D"/>
    <w:rsid w:val="00B364D4"/>
    <w:rsid w:val="00B36EF5"/>
    <w:rsid w:val="00B371F8"/>
    <w:rsid w:val="00B372C4"/>
    <w:rsid w:val="00B376B0"/>
    <w:rsid w:val="00B41704"/>
    <w:rsid w:val="00B41EF2"/>
    <w:rsid w:val="00B42644"/>
    <w:rsid w:val="00B4269F"/>
    <w:rsid w:val="00B42825"/>
    <w:rsid w:val="00B42C15"/>
    <w:rsid w:val="00B42C20"/>
    <w:rsid w:val="00B436FF"/>
    <w:rsid w:val="00B43938"/>
    <w:rsid w:val="00B43B1A"/>
    <w:rsid w:val="00B50BDB"/>
    <w:rsid w:val="00B510F9"/>
    <w:rsid w:val="00B53440"/>
    <w:rsid w:val="00B539EB"/>
    <w:rsid w:val="00B542F2"/>
    <w:rsid w:val="00B552FC"/>
    <w:rsid w:val="00B56D61"/>
    <w:rsid w:val="00B576E1"/>
    <w:rsid w:val="00B60544"/>
    <w:rsid w:val="00B608F1"/>
    <w:rsid w:val="00B60F79"/>
    <w:rsid w:val="00B61656"/>
    <w:rsid w:val="00B6233F"/>
    <w:rsid w:val="00B63B4A"/>
    <w:rsid w:val="00B63DD3"/>
    <w:rsid w:val="00B64560"/>
    <w:rsid w:val="00B645CE"/>
    <w:rsid w:val="00B673CA"/>
    <w:rsid w:val="00B676ED"/>
    <w:rsid w:val="00B67DC7"/>
    <w:rsid w:val="00B70680"/>
    <w:rsid w:val="00B7117A"/>
    <w:rsid w:val="00B71454"/>
    <w:rsid w:val="00B7170D"/>
    <w:rsid w:val="00B72053"/>
    <w:rsid w:val="00B72850"/>
    <w:rsid w:val="00B748FB"/>
    <w:rsid w:val="00B75847"/>
    <w:rsid w:val="00B75D3F"/>
    <w:rsid w:val="00B77723"/>
    <w:rsid w:val="00B80FB4"/>
    <w:rsid w:val="00B815D3"/>
    <w:rsid w:val="00B82AFE"/>
    <w:rsid w:val="00B82BD2"/>
    <w:rsid w:val="00B83EDD"/>
    <w:rsid w:val="00B843A1"/>
    <w:rsid w:val="00B8502F"/>
    <w:rsid w:val="00B868D6"/>
    <w:rsid w:val="00B86D10"/>
    <w:rsid w:val="00B8748B"/>
    <w:rsid w:val="00B876BD"/>
    <w:rsid w:val="00B87B55"/>
    <w:rsid w:val="00B912BC"/>
    <w:rsid w:val="00B91710"/>
    <w:rsid w:val="00B91818"/>
    <w:rsid w:val="00B91B9F"/>
    <w:rsid w:val="00B91C78"/>
    <w:rsid w:val="00B942D9"/>
    <w:rsid w:val="00B94BE5"/>
    <w:rsid w:val="00B95AB4"/>
    <w:rsid w:val="00B96DEF"/>
    <w:rsid w:val="00B97D5E"/>
    <w:rsid w:val="00B97FF2"/>
    <w:rsid w:val="00BA0895"/>
    <w:rsid w:val="00BA0A76"/>
    <w:rsid w:val="00BA0F61"/>
    <w:rsid w:val="00BA1092"/>
    <w:rsid w:val="00BA1E38"/>
    <w:rsid w:val="00BA20C2"/>
    <w:rsid w:val="00BA449A"/>
    <w:rsid w:val="00BA59E1"/>
    <w:rsid w:val="00BA79EC"/>
    <w:rsid w:val="00BA7D7F"/>
    <w:rsid w:val="00BA7DE1"/>
    <w:rsid w:val="00BB0423"/>
    <w:rsid w:val="00BB2B6E"/>
    <w:rsid w:val="00BB33AF"/>
    <w:rsid w:val="00BB5E5D"/>
    <w:rsid w:val="00BB6ECF"/>
    <w:rsid w:val="00BB74B3"/>
    <w:rsid w:val="00BB777A"/>
    <w:rsid w:val="00BC05B6"/>
    <w:rsid w:val="00BC1765"/>
    <w:rsid w:val="00BC1FE5"/>
    <w:rsid w:val="00BC240A"/>
    <w:rsid w:val="00BC263E"/>
    <w:rsid w:val="00BC3BEF"/>
    <w:rsid w:val="00BC50C9"/>
    <w:rsid w:val="00BC5454"/>
    <w:rsid w:val="00BC5D11"/>
    <w:rsid w:val="00BC605B"/>
    <w:rsid w:val="00BC677B"/>
    <w:rsid w:val="00BC68B5"/>
    <w:rsid w:val="00BC7F09"/>
    <w:rsid w:val="00BD036D"/>
    <w:rsid w:val="00BD0BF7"/>
    <w:rsid w:val="00BD113C"/>
    <w:rsid w:val="00BD1F1F"/>
    <w:rsid w:val="00BD219A"/>
    <w:rsid w:val="00BD2A6E"/>
    <w:rsid w:val="00BD2C42"/>
    <w:rsid w:val="00BD51D3"/>
    <w:rsid w:val="00BD5A29"/>
    <w:rsid w:val="00BD63F9"/>
    <w:rsid w:val="00BD68C1"/>
    <w:rsid w:val="00BD6EF9"/>
    <w:rsid w:val="00BD754C"/>
    <w:rsid w:val="00BD7B4F"/>
    <w:rsid w:val="00BE14CF"/>
    <w:rsid w:val="00BE20F5"/>
    <w:rsid w:val="00BE2683"/>
    <w:rsid w:val="00BE273A"/>
    <w:rsid w:val="00BE4940"/>
    <w:rsid w:val="00BE63FF"/>
    <w:rsid w:val="00BE6536"/>
    <w:rsid w:val="00BE72FD"/>
    <w:rsid w:val="00BF09E7"/>
    <w:rsid w:val="00BF1952"/>
    <w:rsid w:val="00BF1E9D"/>
    <w:rsid w:val="00BF1EF8"/>
    <w:rsid w:val="00BF2DE5"/>
    <w:rsid w:val="00BF30F9"/>
    <w:rsid w:val="00BF3ABD"/>
    <w:rsid w:val="00BF3AFB"/>
    <w:rsid w:val="00BF4C49"/>
    <w:rsid w:val="00BF4C54"/>
    <w:rsid w:val="00BF6338"/>
    <w:rsid w:val="00BF6A08"/>
    <w:rsid w:val="00BF6D56"/>
    <w:rsid w:val="00BF6F76"/>
    <w:rsid w:val="00BF7B1E"/>
    <w:rsid w:val="00C00416"/>
    <w:rsid w:val="00C0074C"/>
    <w:rsid w:val="00C00D03"/>
    <w:rsid w:val="00C016B9"/>
    <w:rsid w:val="00C01DFC"/>
    <w:rsid w:val="00C0282B"/>
    <w:rsid w:val="00C0323B"/>
    <w:rsid w:val="00C03458"/>
    <w:rsid w:val="00C05CE6"/>
    <w:rsid w:val="00C067E0"/>
    <w:rsid w:val="00C07605"/>
    <w:rsid w:val="00C1025D"/>
    <w:rsid w:val="00C109DF"/>
    <w:rsid w:val="00C113E2"/>
    <w:rsid w:val="00C11508"/>
    <w:rsid w:val="00C11C7E"/>
    <w:rsid w:val="00C11E2F"/>
    <w:rsid w:val="00C12B24"/>
    <w:rsid w:val="00C12D93"/>
    <w:rsid w:val="00C12EE2"/>
    <w:rsid w:val="00C1336A"/>
    <w:rsid w:val="00C139DE"/>
    <w:rsid w:val="00C13B55"/>
    <w:rsid w:val="00C16BCE"/>
    <w:rsid w:val="00C17866"/>
    <w:rsid w:val="00C17CFB"/>
    <w:rsid w:val="00C17FCF"/>
    <w:rsid w:val="00C21C69"/>
    <w:rsid w:val="00C22B54"/>
    <w:rsid w:val="00C22F6C"/>
    <w:rsid w:val="00C23520"/>
    <w:rsid w:val="00C23D35"/>
    <w:rsid w:val="00C24E0D"/>
    <w:rsid w:val="00C25082"/>
    <w:rsid w:val="00C254CA"/>
    <w:rsid w:val="00C25B3C"/>
    <w:rsid w:val="00C265D4"/>
    <w:rsid w:val="00C275FC"/>
    <w:rsid w:val="00C3030F"/>
    <w:rsid w:val="00C30D84"/>
    <w:rsid w:val="00C317A7"/>
    <w:rsid w:val="00C32E69"/>
    <w:rsid w:val="00C33514"/>
    <w:rsid w:val="00C33AEC"/>
    <w:rsid w:val="00C34B46"/>
    <w:rsid w:val="00C34EDD"/>
    <w:rsid w:val="00C356DF"/>
    <w:rsid w:val="00C35D68"/>
    <w:rsid w:val="00C36413"/>
    <w:rsid w:val="00C364C7"/>
    <w:rsid w:val="00C368B3"/>
    <w:rsid w:val="00C36AE7"/>
    <w:rsid w:val="00C3742C"/>
    <w:rsid w:val="00C40638"/>
    <w:rsid w:val="00C410D2"/>
    <w:rsid w:val="00C42148"/>
    <w:rsid w:val="00C42A78"/>
    <w:rsid w:val="00C437D6"/>
    <w:rsid w:val="00C459E2"/>
    <w:rsid w:val="00C4601D"/>
    <w:rsid w:val="00C47374"/>
    <w:rsid w:val="00C51927"/>
    <w:rsid w:val="00C51CCA"/>
    <w:rsid w:val="00C51FFA"/>
    <w:rsid w:val="00C52330"/>
    <w:rsid w:val="00C524F4"/>
    <w:rsid w:val="00C533F6"/>
    <w:rsid w:val="00C54473"/>
    <w:rsid w:val="00C54FC7"/>
    <w:rsid w:val="00C55D94"/>
    <w:rsid w:val="00C57582"/>
    <w:rsid w:val="00C57632"/>
    <w:rsid w:val="00C57C81"/>
    <w:rsid w:val="00C608EF"/>
    <w:rsid w:val="00C612BB"/>
    <w:rsid w:val="00C612BF"/>
    <w:rsid w:val="00C61720"/>
    <w:rsid w:val="00C61B97"/>
    <w:rsid w:val="00C61C51"/>
    <w:rsid w:val="00C61D61"/>
    <w:rsid w:val="00C6207E"/>
    <w:rsid w:val="00C62BF2"/>
    <w:rsid w:val="00C637EF"/>
    <w:rsid w:val="00C64021"/>
    <w:rsid w:val="00C64FAE"/>
    <w:rsid w:val="00C660A9"/>
    <w:rsid w:val="00C66147"/>
    <w:rsid w:val="00C66344"/>
    <w:rsid w:val="00C674F7"/>
    <w:rsid w:val="00C70B58"/>
    <w:rsid w:val="00C7142E"/>
    <w:rsid w:val="00C71F24"/>
    <w:rsid w:val="00C720DA"/>
    <w:rsid w:val="00C72E4C"/>
    <w:rsid w:val="00C731E1"/>
    <w:rsid w:val="00C735DC"/>
    <w:rsid w:val="00C73686"/>
    <w:rsid w:val="00C73A5D"/>
    <w:rsid w:val="00C73B4C"/>
    <w:rsid w:val="00C745D7"/>
    <w:rsid w:val="00C74610"/>
    <w:rsid w:val="00C75658"/>
    <w:rsid w:val="00C75BF0"/>
    <w:rsid w:val="00C75CB5"/>
    <w:rsid w:val="00C760A8"/>
    <w:rsid w:val="00C7699D"/>
    <w:rsid w:val="00C76F2A"/>
    <w:rsid w:val="00C7702A"/>
    <w:rsid w:val="00C773C8"/>
    <w:rsid w:val="00C77477"/>
    <w:rsid w:val="00C80A25"/>
    <w:rsid w:val="00C81311"/>
    <w:rsid w:val="00C81E01"/>
    <w:rsid w:val="00C82930"/>
    <w:rsid w:val="00C845A9"/>
    <w:rsid w:val="00C8531E"/>
    <w:rsid w:val="00C85B6C"/>
    <w:rsid w:val="00C85BEA"/>
    <w:rsid w:val="00C86AFD"/>
    <w:rsid w:val="00C86BFE"/>
    <w:rsid w:val="00C86D8A"/>
    <w:rsid w:val="00C870EF"/>
    <w:rsid w:val="00C900B0"/>
    <w:rsid w:val="00C9080B"/>
    <w:rsid w:val="00C90EF9"/>
    <w:rsid w:val="00C913C1"/>
    <w:rsid w:val="00C9207F"/>
    <w:rsid w:val="00C92931"/>
    <w:rsid w:val="00C92949"/>
    <w:rsid w:val="00C9312F"/>
    <w:rsid w:val="00C95ED6"/>
    <w:rsid w:val="00C95F91"/>
    <w:rsid w:val="00C9621F"/>
    <w:rsid w:val="00C976A2"/>
    <w:rsid w:val="00C97B50"/>
    <w:rsid w:val="00CA058D"/>
    <w:rsid w:val="00CA19C3"/>
    <w:rsid w:val="00CA1FB0"/>
    <w:rsid w:val="00CA24D1"/>
    <w:rsid w:val="00CA306A"/>
    <w:rsid w:val="00CA39CC"/>
    <w:rsid w:val="00CA4743"/>
    <w:rsid w:val="00CA5728"/>
    <w:rsid w:val="00CA57D2"/>
    <w:rsid w:val="00CA735E"/>
    <w:rsid w:val="00CA7E5D"/>
    <w:rsid w:val="00CB138F"/>
    <w:rsid w:val="00CB13E0"/>
    <w:rsid w:val="00CB1B5F"/>
    <w:rsid w:val="00CB481D"/>
    <w:rsid w:val="00CB5C8B"/>
    <w:rsid w:val="00CB76B8"/>
    <w:rsid w:val="00CB7703"/>
    <w:rsid w:val="00CB77EE"/>
    <w:rsid w:val="00CB783B"/>
    <w:rsid w:val="00CB7C8C"/>
    <w:rsid w:val="00CC0072"/>
    <w:rsid w:val="00CC0349"/>
    <w:rsid w:val="00CC0E36"/>
    <w:rsid w:val="00CC148B"/>
    <w:rsid w:val="00CC2803"/>
    <w:rsid w:val="00CC294D"/>
    <w:rsid w:val="00CC295E"/>
    <w:rsid w:val="00CC29C8"/>
    <w:rsid w:val="00CC2BEB"/>
    <w:rsid w:val="00CC35FE"/>
    <w:rsid w:val="00CC44FC"/>
    <w:rsid w:val="00CC4A88"/>
    <w:rsid w:val="00CC5C1C"/>
    <w:rsid w:val="00CC5EA5"/>
    <w:rsid w:val="00CC6444"/>
    <w:rsid w:val="00CC65F0"/>
    <w:rsid w:val="00CC6FBD"/>
    <w:rsid w:val="00CC707F"/>
    <w:rsid w:val="00CC7899"/>
    <w:rsid w:val="00CC79CD"/>
    <w:rsid w:val="00CD0229"/>
    <w:rsid w:val="00CD1841"/>
    <w:rsid w:val="00CD1BF1"/>
    <w:rsid w:val="00CD1FD1"/>
    <w:rsid w:val="00CD21E7"/>
    <w:rsid w:val="00CD27CD"/>
    <w:rsid w:val="00CD2B52"/>
    <w:rsid w:val="00CD352A"/>
    <w:rsid w:val="00CD462A"/>
    <w:rsid w:val="00CD49E6"/>
    <w:rsid w:val="00CD4AA3"/>
    <w:rsid w:val="00CD4BF8"/>
    <w:rsid w:val="00CD531E"/>
    <w:rsid w:val="00CD68DD"/>
    <w:rsid w:val="00CD7B8B"/>
    <w:rsid w:val="00CE0910"/>
    <w:rsid w:val="00CE0972"/>
    <w:rsid w:val="00CE0BAE"/>
    <w:rsid w:val="00CE1D4F"/>
    <w:rsid w:val="00CE29F2"/>
    <w:rsid w:val="00CE2B04"/>
    <w:rsid w:val="00CE4B35"/>
    <w:rsid w:val="00CE4F3A"/>
    <w:rsid w:val="00CE5298"/>
    <w:rsid w:val="00CE58EB"/>
    <w:rsid w:val="00CE69F1"/>
    <w:rsid w:val="00CE6EAE"/>
    <w:rsid w:val="00CF10A4"/>
    <w:rsid w:val="00CF238A"/>
    <w:rsid w:val="00CF2705"/>
    <w:rsid w:val="00CF35B2"/>
    <w:rsid w:val="00CF38D4"/>
    <w:rsid w:val="00CF6754"/>
    <w:rsid w:val="00CF6BC0"/>
    <w:rsid w:val="00CF6E7E"/>
    <w:rsid w:val="00CF738E"/>
    <w:rsid w:val="00D00543"/>
    <w:rsid w:val="00D00CD5"/>
    <w:rsid w:val="00D01665"/>
    <w:rsid w:val="00D0266D"/>
    <w:rsid w:val="00D03C94"/>
    <w:rsid w:val="00D05197"/>
    <w:rsid w:val="00D05B9B"/>
    <w:rsid w:val="00D07D0D"/>
    <w:rsid w:val="00D11663"/>
    <w:rsid w:val="00D11705"/>
    <w:rsid w:val="00D11909"/>
    <w:rsid w:val="00D12B28"/>
    <w:rsid w:val="00D1350E"/>
    <w:rsid w:val="00D14826"/>
    <w:rsid w:val="00D159F8"/>
    <w:rsid w:val="00D16D61"/>
    <w:rsid w:val="00D175A5"/>
    <w:rsid w:val="00D17CFB"/>
    <w:rsid w:val="00D20464"/>
    <w:rsid w:val="00D2050C"/>
    <w:rsid w:val="00D21B6B"/>
    <w:rsid w:val="00D226B9"/>
    <w:rsid w:val="00D23437"/>
    <w:rsid w:val="00D2459A"/>
    <w:rsid w:val="00D248D9"/>
    <w:rsid w:val="00D24CD7"/>
    <w:rsid w:val="00D25CBA"/>
    <w:rsid w:val="00D25FE2"/>
    <w:rsid w:val="00D26971"/>
    <w:rsid w:val="00D27131"/>
    <w:rsid w:val="00D27A2F"/>
    <w:rsid w:val="00D27B38"/>
    <w:rsid w:val="00D27BC6"/>
    <w:rsid w:val="00D27F73"/>
    <w:rsid w:val="00D30BA4"/>
    <w:rsid w:val="00D30E4E"/>
    <w:rsid w:val="00D31BBD"/>
    <w:rsid w:val="00D33EDF"/>
    <w:rsid w:val="00D34AD1"/>
    <w:rsid w:val="00D35D93"/>
    <w:rsid w:val="00D35F58"/>
    <w:rsid w:val="00D367FC"/>
    <w:rsid w:val="00D36D5F"/>
    <w:rsid w:val="00D378CB"/>
    <w:rsid w:val="00D404B1"/>
    <w:rsid w:val="00D40B0E"/>
    <w:rsid w:val="00D41773"/>
    <w:rsid w:val="00D42890"/>
    <w:rsid w:val="00D42A52"/>
    <w:rsid w:val="00D43014"/>
    <w:rsid w:val="00D43988"/>
    <w:rsid w:val="00D43B85"/>
    <w:rsid w:val="00D4612C"/>
    <w:rsid w:val="00D468D6"/>
    <w:rsid w:val="00D4707E"/>
    <w:rsid w:val="00D471F2"/>
    <w:rsid w:val="00D47867"/>
    <w:rsid w:val="00D47EAF"/>
    <w:rsid w:val="00D5008D"/>
    <w:rsid w:val="00D501BE"/>
    <w:rsid w:val="00D503AE"/>
    <w:rsid w:val="00D5169F"/>
    <w:rsid w:val="00D5239A"/>
    <w:rsid w:val="00D52A52"/>
    <w:rsid w:val="00D52D7F"/>
    <w:rsid w:val="00D53034"/>
    <w:rsid w:val="00D536C7"/>
    <w:rsid w:val="00D541A8"/>
    <w:rsid w:val="00D54F3C"/>
    <w:rsid w:val="00D55A05"/>
    <w:rsid w:val="00D562A8"/>
    <w:rsid w:val="00D56543"/>
    <w:rsid w:val="00D61A89"/>
    <w:rsid w:val="00D61A9F"/>
    <w:rsid w:val="00D61B66"/>
    <w:rsid w:val="00D61EDD"/>
    <w:rsid w:val="00D628AF"/>
    <w:rsid w:val="00D6294B"/>
    <w:rsid w:val="00D6564D"/>
    <w:rsid w:val="00D65B72"/>
    <w:rsid w:val="00D66697"/>
    <w:rsid w:val="00D66CA2"/>
    <w:rsid w:val="00D67ACA"/>
    <w:rsid w:val="00D67F69"/>
    <w:rsid w:val="00D70968"/>
    <w:rsid w:val="00D71103"/>
    <w:rsid w:val="00D71F86"/>
    <w:rsid w:val="00D72FAD"/>
    <w:rsid w:val="00D73AF1"/>
    <w:rsid w:val="00D73C77"/>
    <w:rsid w:val="00D74504"/>
    <w:rsid w:val="00D74639"/>
    <w:rsid w:val="00D747CF"/>
    <w:rsid w:val="00D75646"/>
    <w:rsid w:val="00D77293"/>
    <w:rsid w:val="00D77397"/>
    <w:rsid w:val="00D809B7"/>
    <w:rsid w:val="00D80B7D"/>
    <w:rsid w:val="00D80C0C"/>
    <w:rsid w:val="00D80E6B"/>
    <w:rsid w:val="00D813B0"/>
    <w:rsid w:val="00D81A57"/>
    <w:rsid w:val="00D820D8"/>
    <w:rsid w:val="00D82A4C"/>
    <w:rsid w:val="00D83922"/>
    <w:rsid w:val="00D83A8F"/>
    <w:rsid w:val="00D845A9"/>
    <w:rsid w:val="00D85683"/>
    <w:rsid w:val="00D8589F"/>
    <w:rsid w:val="00D86CDC"/>
    <w:rsid w:val="00D8731F"/>
    <w:rsid w:val="00D8772B"/>
    <w:rsid w:val="00D87A82"/>
    <w:rsid w:val="00D901D6"/>
    <w:rsid w:val="00D90494"/>
    <w:rsid w:val="00D90900"/>
    <w:rsid w:val="00D90F8A"/>
    <w:rsid w:val="00D91071"/>
    <w:rsid w:val="00D91621"/>
    <w:rsid w:val="00D946F5"/>
    <w:rsid w:val="00D9553A"/>
    <w:rsid w:val="00D95948"/>
    <w:rsid w:val="00D95C5C"/>
    <w:rsid w:val="00D96241"/>
    <w:rsid w:val="00D9740F"/>
    <w:rsid w:val="00D97BA1"/>
    <w:rsid w:val="00DA0193"/>
    <w:rsid w:val="00DA078F"/>
    <w:rsid w:val="00DA09FC"/>
    <w:rsid w:val="00DA0C73"/>
    <w:rsid w:val="00DA0F98"/>
    <w:rsid w:val="00DA1695"/>
    <w:rsid w:val="00DA1C97"/>
    <w:rsid w:val="00DA27FB"/>
    <w:rsid w:val="00DA3830"/>
    <w:rsid w:val="00DA4B7A"/>
    <w:rsid w:val="00DA4FCE"/>
    <w:rsid w:val="00DA50BA"/>
    <w:rsid w:val="00DA527D"/>
    <w:rsid w:val="00DA593E"/>
    <w:rsid w:val="00DA59D2"/>
    <w:rsid w:val="00DB0C84"/>
    <w:rsid w:val="00DB2B7E"/>
    <w:rsid w:val="00DB3457"/>
    <w:rsid w:val="00DB3606"/>
    <w:rsid w:val="00DB3C1D"/>
    <w:rsid w:val="00DB5719"/>
    <w:rsid w:val="00DB624E"/>
    <w:rsid w:val="00DB6C5E"/>
    <w:rsid w:val="00DB6CBF"/>
    <w:rsid w:val="00DB6D48"/>
    <w:rsid w:val="00DC02EA"/>
    <w:rsid w:val="00DC076E"/>
    <w:rsid w:val="00DC1CA6"/>
    <w:rsid w:val="00DC200A"/>
    <w:rsid w:val="00DC20CF"/>
    <w:rsid w:val="00DC22DF"/>
    <w:rsid w:val="00DC2F07"/>
    <w:rsid w:val="00DC38DB"/>
    <w:rsid w:val="00DC419A"/>
    <w:rsid w:val="00DC4650"/>
    <w:rsid w:val="00DC6DA1"/>
    <w:rsid w:val="00DC7E69"/>
    <w:rsid w:val="00DD1927"/>
    <w:rsid w:val="00DD2033"/>
    <w:rsid w:val="00DD26E8"/>
    <w:rsid w:val="00DD3316"/>
    <w:rsid w:val="00DD3338"/>
    <w:rsid w:val="00DD48E8"/>
    <w:rsid w:val="00DD4EA9"/>
    <w:rsid w:val="00DD5BE0"/>
    <w:rsid w:val="00DD5E57"/>
    <w:rsid w:val="00DD718C"/>
    <w:rsid w:val="00DE0526"/>
    <w:rsid w:val="00DE2F3A"/>
    <w:rsid w:val="00DE3385"/>
    <w:rsid w:val="00DE4007"/>
    <w:rsid w:val="00DE4146"/>
    <w:rsid w:val="00DE4638"/>
    <w:rsid w:val="00DE4651"/>
    <w:rsid w:val="00DE5DA4"/>
    <w:rsid w:val="00DE6E21"/>
    <w:rsid w:val="00DE7265"/>
    <w:rsid w:val="00DE7525"/>
    <w:rsid w:val="00DF0281"/>
    <w:rsid w:val="00DF05CD"/>
    <w:rsid w:val="00DF05ED"/>
    <w:rsid w:val="00DF0AC2"/>
    <w:rsid w:val="00DF2353"/>
    <w:rsid w:val="00DF2654"/>
    <w:rsid w:val="00DF3AB2"/>
    <w:rsid w:val="00DF46C0"/>
    <w:rsid w:val="00DF5247"/>
    <w:rsid w:val="00DF61A1"/>
    <w:rsid w:val="00DF635C"/>
    <w:rsid w:val="00DF6F57"/>
    <w:rsid w:val="00E001BD"/>
    <w:rsid w:val="00E00898"/>
    <w:rsid w:val="00E0628E"/>
    <w:rsid w:val="00E06460"/>
    <w:rsid w:val="00E0650E"/>
    <w:rsid w:val="00E067B0"/>
    <w:rsid w:val="00E069D3"/>
    <w:rsid w:val="00E073CF"/>
    <w:rsid w:val="00E108A2"/>
    <w:rsid w:val="00E10C31"/>
    <w:rsid w:val="00E139ED"/>
    <w:rsid w:val="00E15C4C"/>
    <w:rsid w:val="00E17F53"/>
    <w:rsid w:val="00E21058"/>
    <w:rsid w:val="00E228D0"/>
    <w:rsid w:val="00E2373B"/>
    <w:rsid w:val="00E244A6"/>
    <w:rsid w:val="00E24A9F"/>
    <w:rsid w:val="00E25124"/>
    <w:rsid w:val="00E254DE"/>
    <w:rsid w:val="00E2559F"/>
    <w:rsid w:val="00E261F8"/>
    <w:rsid w:val="00E26694"/>
    <w:rsid w:val="00E26AE4"/>
    <w:rsid w:val="00E26E25"/>
    <w:rsid w:val="00E30772"/>
    <w:rsid w:val="00E3110D"/>
    <w:rsid w:val="00E324AD"/>
    <w:rsid w:val="00E3342D"/>
    <w:rsid w:val="00E33683"/>
    <w:rsid w:val="00E33734"/>
    <w:rsid w:val="00E3496D"/>
    <w:rsid w:val="00E3525A"/>
    <w:rsid w:val="00E35AB4"/>
    <w:rsid w:val="00E368CC"/>
    <w:rsid w:val="00E41580"/>
    <w:rsid w:val="00E42850"/>
    <w:rsid w:val="00E438CC"/>
    <w:rsid w:val="00E44175"/>
    <w:rsid w:val="00E444F4"/>
    <w:rsid w:val="00E44CD4"/>
    <w:rsid w:val="00E45791"/>
    <w:rsid w:val="00E45B91"/>
    <w:rsid w:val="00E46928"/>
    <w:rsid w:val="00E46C57"/>
    <w:rsid w:val="00E46D07"/>
    <w:rsid w:val="00E5015D"/>
    <w:rsid w:val="00E50C6E"/>
    <w:rsid w:val="00E5176B"/>
    <w:rsid w:val="00E528BA"/>
    <w:rsid w:val="00E534DF"/>
    <w:rsid w:val="00E54789"/>
    <w:rsid w:val="00E565C2"/>
    <w:rsid w:val="00E600B8"/>
    <w:rsid w:val="00E60269"/>
    <w:rsid w:val="00E603B0"/>
    <w:rsid w:val="00E60C32"/>
    <w:rsid w:val="00E627F6"/>
    <w:rsid w:val="00E62D00"/>
    <w:rsid w:val="00E63415"/>
    <w:rsid w:val="00E63F1D"/>
    <w:rsid w:val="00E646D5"/>
    <w:rsid w:val="00E65E87"/>
    <w:rsid w:val="00E65FF8"/>
    <w:rsid w:val="00E676FB"/>
    <w:rsid w:val="00E67C67"/>
    <w:rsid w:val="00E67E6C"/>
    <w:rsid w:val="00E71942"/>
    <w:rsid w:val="00E726DA"/>
    <w:rsid w:val="00E72B1D"/>
    <w:rsid w:val="00E72B2C"/>
    <w:rsid w:val="00E734C7"/>
    <w:rsid w:val="00E74078"/>
    <w:rsid w:val="00E75068"/>
    <w:rsid w:val="00E7516F"/>
    <w:rsid w:val="00E75A9D"/>
    <w:rsid w:val="00E765AF"/>
    <w:rsid w:val="00E80916"/>
    <w:rsid w:val="00E81692"/>
    <w:rsid w:val="00E81B8E"/>
    <w:rsid w:val="00E81ED7"/>
    <w:rsid w:val="00E82467"/>
    <w:rsid w:val="00E83005"/>
    <w:rsid w:val="00E8377F"/>
    <w:rsid w:val="00E84FB0"/>
    <w:rsid w:val="00E8558E"/>
    <w:rsid w:val="00E86533"/>
    <w:rsid w:val="00E8696A"/>
    <w:rsid w:val="00E87A04"/>
    <w:rsid w:val="00E905A3"/>
    <w:rsid w:val="00E9181B"/>
    <w:rsid w:val="00E9222C"/>
    <w:rsid w:val="00E935F1"/>
    <w:rsid w:val="00E9558B"/>
    <w:rsid w:val="00E958C5"/>
    <w:rsid w:val="00E95D1B"/>
    <w:rsid w:val="00E96200"/>
    <w:rsid w:val="00E964B0"/>
    <w:rsid w:val="00E966CE"/>
    <w:rsid w:val="00EA15A4"/>
    <w:rsid w:val="00EA1D43"/>
    <w:rsid w:val="00EA201A"/>
    <w:rsid w:val="00EA2EFA"/>
    <w:rsid w:val="00EA3CDD"/>
    <w:rsid w:val="00EA4A9C"/>
    <w:rsid w:val="00EA50D6"/>
    <w:rsid w:val="00EA5243"/>
    <w:rsid w:val="00EA5714"/>
    <w:rsid w:val="00EA67A8"/>
    <w:rsid w:val="00EA7662"/>
    <w:rsid w:val="00EA76E7"/>
    <w:rsid w:val="00EA7CC3"/>
    <w:rsid w:val="00EB016F"/>
    <w:rsid w:val="00EB06A1"/>
    <w:rsid w:val="00EB0E32"/>
    <w:rsid w:val="00EB2273"/>
    <w:rsid w:val="00EB294B"/>
    <w:rsid w:val="00EB33F4"/>
    <w:rsid w:val="00EB3B20"/>
    <w:rsid w:val="00EB3B9C"/>
    <w:rsid w:val="00EB44E3"/>
    <w:rsid w:val="00EB4C04"/>
    <w:rsid w:val="00EB52CB"/>
    <w:rsid w:val="00EB5466"/>
    <w:rsid w:val="00EB5543"/>
    <w:rsid w:val="00EB64D1"/>
    <w:rsid w:val="00EB7A17"/>
    <w:rsid w:val="00EC1406"/>
    <w:rsid w:val="00EC2677"/>
    <w:rsid w:val="00EC269C"/>
    <w:rsid w:val="00EC28E4"/>
    <w:rsid w:val="00EC2A60"/>
    <w:rsid w:val="00EC362F"/>
    <w:rsid w:val="00EC36F2"/>
    <w:rsid w:val="00EC4F33"/>
    <w:rsid w:val="00EC503A"/>
    <w:rsid w:val="00EC714B"/>
    <w:rsid w:val="00EC71AF"/>
    <w:rsid w:val="00ED1787"/>
    <w:rsid w:val="00ED3321"/>
    <w:rsid w:val="00ED3336"/>
    <w:rsid w:val="00ED37B3"/>
    <w:rsid w:val="00ED43A6"/>
    <w:rsid w:val="00ED4A00"/>
    <w:rsid w:val="00ED6459"/>
    <w:rsid w:val="00ED6770"/>
    <w:rsid w:val="00ED7371"/>
    <w:rsid w:val="00EE1CC3"/>
    <w:rsid w:val="00EE2850"/>
    <w:rsid w:val="00EE2F9A"/>
    <w:rsid w:val="00EE4C7E"/>
    <w:rsid w:val="00EE4DE1"/>
    <w:rsid w:val="00EE542E"/>
    <w:rsid w:val="00EE548B"/>
    <w:rsid w:val="00EE556D"/>
    <w:rsid w:val="00EE5F38"/>
    <w:rsid w:val="00EE6184"/>
    <w:rsid w:val="00EE7A2C"/>
    <w:rsid w:val="00EF0A18"/>
    <w:rsid w:val="00EF2240"/>
    <w:rsid w:val="00EF4DF0"/>
    <w:rsid w:val="00EF5BE5"/>
    <w:rsid w:val="00EF6379"/>
    <w:rsid w:val="00EF642E"/>
    <w:rsid w:val="00EF6556"/>
    <w:rsid w:val="00EF748D"/>
    <w:rsid w:val="00F02C87"/>
    <w:rsid w:val="00F0319D"/>
    <w:rsid w:val="00F04E29"/>
    <w:rsid w:val="00F0736C"/>
    <w:rsid w:val="00F11260"/>
    <w:rsid w:val="00F12201"/>
    <w:rsid w:val="00F123BD"/>
    <w:rsid w:val="00F12D86"/>
    <w:rsid w:val="00F13B05"/>
    <w:rsid w:val="00F13DC6"/>
    <w:rsid w:val="00F15AF2"/>
    <w:rsid w:val="00F167DB"/>
    <w:rsid w:val="00F17135"/>
    <w:rsid w:val="00F21290"/>
    <w:rsid w:val="00F21E2C"/>
    <w:rsid w:val="00F237DE"/>
    <w:rsid w:val="00F24530"/>
    <w:rsid w:val="00F258B9"/>
    <w:rsid w:val="00F25DED"/>
    <w:rsid w:val="00F26E14"/>
    <w:rsid w:val="00F27796"/>
    <w:rsid w:val="00F307CC"/>
    <w:rsid w:val="00F30BBA"/>
    <w:rsid w:val="00F30CA4"/>
    <w:rsid w:val="00F31071"/>
    <w:rsid w:val="00F31630"/>
    <w:rsid w:val="00F319D3"/>
    <w:rsid w:val="00F34C99"/>
    <w:rsid w:val="00F34F7D"/>
    <w:rsid w:val="00F351D1"/>
    <w:rsid w:val="00F35EAF"/>
    <w:rsid w:val="00F3712C"/>
    <w:rsid w:val="00F405F3"/>
    <w:rsid w:val="00F4117C"/>
    <w:rsid w:val="00F41637"/>
    <w:rsid w:val="00F4294F"/>
    <w:rsid w:val="00F43706"/>
    <w:rsid w:val="00F439BB"/>
    <w:rsid w:val="00F43C16"/>
    <w:rsid w:val="00F449D7"/>
    <w:rsid w:val="00F44EFA"/>
    <w:rsid w:val="00F454CD"/>
    <w:rsid w:val="00F45FC1"/>
    <w:rsid w:val="00F461AE"/>
    <w:rsid w:val="00F467DD"/>
    <w:rsid w:val="00F467F9"/>
    <w:rsid w:val="00F4757D"/>
    <w:rsid w:val="00F5005E"/>
    <w:rsid w:val="00F515B6"/>
    <w:rsid w:val="00F51B88"/>
    <w:rsid w:val="00F520D1"/>
    <w:rsid w:val="00F524DC"/>
    <w:rsid w:val="00F534D3"/>
    <w:rsid w:val="00F5366E"/>
    <w:rsid w:val="00F5421D"/>
    <w:rsid w:val="00F548CE"/>
    <w:rsid w:val="00F54B2D"/>
    <w:rsid w:val="00F54E5B"/>
    <w:rsid w:val="00F55C38"/>
    <w:rsid w:val="00F574BC"/>
    <w:rsid w:val="00F57CEB"/>
    <w:rsid w:val="00F57DE4"/>
    <w:rsid w:val="00F60DF3"/>
    <w:rsid w:val="00F61BFE"/>
    <w:rsid w:val="00F62057"/>
    <w:rsid w:val="00F622F2"/>
    <w:rsid w:val="00F623CA"/>
    <w:rsid w:val="00F626D6"/>
    <w:rsid w:val="00F6378A"/>
    <w:rsid w:val="00F63E3A"/>
    <w:rsid w:val="00F652C8"/>
    <w:rsid w:val="00F653DF"/>
    <w:rsid w:val="00F67816"/>
    <w:rsid w:val="00F67C01"/>
    <w:rsid w:val="00F7006D"/>
    <w:rsid w:val="00F7104D"/>
    <w:rsid w:val="00F7114B"/>
    <w:rsid w:val="00F7157B"/>
    <w:rsid w:val="00F72073"/>
    <w:rsid w:val="00F721EF"/>
    <w:rsid w:val="00F72584"/>
    <w:rsid w:val="00F72AC2"/>
    <w:rsid w:val="00F73AC9"/>
    <w:rsid w:val="00F74168"/>
    <w:rsid w:val="00F742F1"/>
    <w:rsid w:val="00F74762"/>
    <w:rsid w:val="00F74BB1"/>
    <w:rsid w:val="00F75302"/>
    <w:rsid w:val="00F76037"/>
    <w:rsid w:val="00F76610"/>
    <w:rsid w:val="00F769EC"/>
    <w:rsid w:val="00F77007"/>
    <w:rsid w:val="00F77724"/>
    <w:rsid w:val="00F77839"/>
    <w:rsid w:val="00F80755"/>
    <w:rsid w:val="00F80C36"/>
    <w:rsid w:val="00F81A86"/>
    <w:rsid w:val="00F81EBB"/>
    <w:rsid w:val="00F82080"/>
    <w:rsid w:val="00F8330F"/>
    <w:rsid w:val="00F8485C"/>
    <w:rsid w:val="00F8584F"/>
    <w:rsid w:val="00F86FD8"/>
    <w:rsid w:val="00F87478"/>
    <w:rsid w:val="00F879E6"/>
    <w:rsid w:val="00F91164"/>
    <w:rsid w:val="00F92B0F"/>
    <w:rsid w:val="00F92E90"/>
    <w:rsid w:val="00F93613"/>
    <w:rsid w:val="00F95156"/>
    <w:rsid w:val="00F95CFB"/>
    <w:rsid w:val="00F96D24"/>
    <w:rsid w:val="00FA041A"/>
    <w:rsid w:val="00FA256E"/>
    <w:rsid w:val="00FA2D43"/>
    <w:rsid w:val="00FA3547"/>
    <w:rsid w:val="00FA5580"/>
    <w:rsid w:val="00FA66E3"/>
    <w:rsid w:val="00FA69C3"/>
    <w:rsid w:val="00FA6AAC"/>
    <w:rsid w:val="00FA6B30"/>
    <w:rsid w:val="00FA6C98"/>
    <w:rsid w:val="00FA6CBC"/>
    <w:rsid w:val="00FA6D48"/>
    <w:rsid w:val="00FA7EC0"/>
    <w:rsid w:val="00FB1FBA"/>
    <w:rsid w:val="00FB212E"/>
    <w:rsid w:val="00FB30A2"/>
    <w:rsid w:val="00FB3780"/>
    <w:rsid w:val="00FB3863"/>
    <w:rsid w:val="00FB4AA6"/>
    <w:rsid w:val="00FB4E3C"/>
    <w:rsid w:val="00FB6684"/>
    <w:rsid w:val="00FB704B"/>
    <w:rsid w:val="00FB7C10"/>
    <w:rsid w:val="00FC0663"/>
    <w:rsid w:val="00FC068F"/>
    <w:rsid w:val="00FC072E"/>
    <w:rsid w:val="00FC30F4"/>
    <w:rsid w:val="00FC35FB"/>
    <w:rsid w:val="00FC3B4E"/>
    <w:rsid w:val="00FC418C"/>
    <w:rsid w:val="00FC4B8A"/>
    <w:rsid w:val="00FC4D80"/>
    <w:rsid w:val="00FC551E"/>
    <w:rsid w:val="00FC5790"/>
    <w:rsid w:val="00FC689D"/>
    <w:rsid w:val="00FC7331"/>
    <w:rsid w:val="00FC7F49"/>
    <w:rsid w:val="00FD039F"/>
    <w:rsid w:val="00FD08A4"/>
    <w:rsid w:val="00FD17F8"/>
    <w:rsid w:val="00FD194F"/>
    <w:rsid w:val="00FD1995"/>
    <w:rsid w:val="00FD25E1"/>
    <w:rsid w:val="00FD2EDC"/>
    <w:rsid w:val="00FD3218"/>
    <w:rsid w:val="00FD3857"/>
    <w:rsid w:val="00FD5798"/>
    <w:rsid w:val="00FD5E1C"/>
    <w:rsid w:val="00FD616A"/>
    <w:rsid w:val="00FD7F6B"/>
    <w:rsid w:val="00FE1880"/>
    <w:rsid w:val="00FE3719"/>
    <w:rsid w:val="00FE3F8E"/>
    <w:rsid w:val="00FE47ED"/>
    <w:rsid w:val="00FE4A4D"/>
    <w:rsid w:val="00FE4E53"/>
    <w:rsid w:val="00FE61DC"/>
    <w:rsid w:val="00FE622F"/>
    <w:rsid w:val="00FE658D"/>
    <w:rsid w:val="00FE67D0"/>
    <w:rsid w:val="00FE7475"/>
    <w:rsid w:val="00FF081E"/>
    <w:rsid w:val="00FF0898"/>
    <w:rsid w:val="00FF145C"/>
    <w:rsid w:val="00FF20D7"/>
    <w:rsid w:val="00FF26EE"/>
    <w:rsid w:val="00FF47A3"/>
    <w:rsid w:val="00FF52D3"/>
    <w:rsid w:val="04F97DB2"/>
    <w:rsid w:val="05717DD4"/>
    <w:rsid w:val="05DA6890"/>
    <w:rsid w:val="0F0C6800"/>
    <w:rsid w:val="0FD37B39"/>
    <w:rsid w:val="10233173"/>
    <w:rsid w:val="11DB182B"/>
    <w:rsid w:val="13FE3E2F"/>
    <w:rsid w:val="1A5E3E31"/>
    <w:rsid w:val="23C83576"/>
    <w:rsid w:val="27715C8F"/>
    <w:rsid w:val="288F719F"/>
    <w:rsid w:val="290A0F1C"/>
    <w:rsid w:val="2FBC58BD"/>
    <w:rsid w:val="306F0525"/>
    <w:rsid w:val="33243D78"/>
    <w:rsid w:val="37CA444B"/>
    <w:rsid w:val="3C8F7316"/>
    <w:rsid w:val="3D1E6857"/>
    <w:rsid w:val="3DEE52F4"/>
    <w:rsid w:val="3F7C4554"/>
    <w:rsid w:val="40160ED0"/>
    <w:rsid w:val="458B60E8"/>
    <w:rsid w:val="47B44597"/>
    <w:rsid w:val="47E21D21"/>
    <w:rsid w:val="47F95F8C"/>
    <w:rsid w:val="4AC41101"/>
    <w:rsid w:val="4B1A4B97"/>
    <w:rsid w:val="4E741C61"/>
    <w:rsid w:val="50575F45"/>
    <w:rsid w:val="50C07F8E"/>
    <w:rsid w:val="54A77D43"/>
    <w:rsid w:val="565C3330"/>
    <w:rsid w:val="57792C45"/>
    <w:rsid w:val="599B50F5"/>
    <w:rsid w:val="5B594276"/>
    <w:rsid w:val="5D5D2F76"/>
    <w:rsid w:val="5DD706C5"/>
    <w:rsid w:val="62BB05B6"/>
    <w:rsid w:val="64A93AAA"/>
    <w:rsid w:val="6B981494"/>
    <w:rsid w:val="6FCA57F5"/>
    <w:rsid w:val="70D8620A"/>
    <w:rsid w:val="71E67D04"/>
    <w:rsid w:val="725302A5"/>
    <w:rsid w:val="75371D9F"/>
    <w:rsid w:val="7D0A68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231"/>
    <w:qFormat/>
    <w:uiPriority w:val="9"/>
    <w:pPr>
      <w:spacing w:before="340" w:after="330" w:line="360" w:lineRule="auto"/>
      <w:jc w:val="center"/>
      <w:outlineLvl w:val="0"/>
    </w:pPr>
    <w:rPr>
      <w:rFonts w:eastAsia="黑体"/>
      <w:kern w:val="44"/>
      <w:szCs w:val="44"/>
    </w:rPr>
  </w:style>
  <w:style w:type="paragraph" w:styleId="5">
    <w:name w:val="heading 2"/>
    <w:basedOn w:val="1"/>
    <w:next w:val="1"/>
    <w:link w:val="235"/>
    <w:qFormat/>
    <w:uiPriority w:val="0"/>
    <w:pPr>
      <w:adjustRightInd w:val="0"/>
      <w:jc w:val="center"/>
      <w:textAlignment w:val="baseline"/>
      <w:outlineLvl w:val="1"/>
    </w:pPr>
    <w:rPr>
      <w:kern w:val="0"/>
      <w:sz w:val="24"/>
      <w:szCs w:val="20"/>
    </w:rPr>
  </w:style>
  <w:style w:type="paragraph" w:styleId="3">
    <w:name w:val="heading 3"/>
    <w:basedOn w:val="4"/>
    <w:next w:val="1"/>
    <w:link w:val="230"/>
    <w:qFormat/>
    <w:uiPriority w:val="0"/>
    <w:pPr>
      <w:spacing w:before="260" w:after="260" w:line="240" w:lineRule="auto"/>
      <w:outlineLvl w:val="2"/>
    </w:pPr>
    <w:rPr>
      <w:rFonts w:ascii="宋体" w:hAnsi="宋体" w:eastAsia="宋体"/>
      <w:szCs w:val="32"/>
    </w:rPr>
  </w:style>
  <w:style w:type="paragraph" w:styleId="4">
    <w:name w:val="heading 4"/>
    <w:basedOn w:val="1"/>
    <w:next w:val="1"/>
    <w:link w:val="22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258"/>
    <w:qFormat/>
    <w:uiPriority w:val="0"/>
    <w:pPr>
      <w:keepNext/>
      <w:keepLines/>
      <w:spacing w:before="280" w:after="290" w:line="376" w:lineRule="auto"/>
      <w:outlineLvl w:val="4"/>
    </w:pPr>
    <w:rPr>
      <w:b/>
      <w:sz w:val="28"/>
      <w:szCs w:val="20"/>
    </w:rPr>
  </w:style>
  <w:style w:type="paragraph" w:styleId="8">
    <w:name w:val="heading 6"/>
    <w:basedOn w:val="1"/>
    <w:next w:val="7"/>
    <w:link w:val="259"/>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260"/>
    <w:qFormat/>
    <w:uiPriority w:val="0"/>
    <w:pPr>
      <w:keepNext/>
      <w:keepLines/>
      <w:spacing w:before="240" w:after="64" w:line="320" w:lineRule="auto"/>
      <w:outlineLvl w:val="6"/>
    </w:pPr>
    <w:rPr>
      <w:b/>
      <w:sz w:val="24"/>
      <w:szCs w:val="20"/>
    </w:rPr>
  </w:style>
  <w:style w:type="paragraph" w:styleId="10">
    <w:name w:val="heading 8"/>
    <w:basedOn w:val="1"/>
    <w:next w:val="7"/>
    <w:link w:val="261"/>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262"/>
    <w:qFormat/>
    <w:uiPriority w:val="0"/>
    <w:pPr>
      <w:keepNext/>
      <w:keepLines/>
      <w:spacing w:before="240" w:after="64" w:line="320" w:lineRule="auto"/>
      <w:outlineLvl w:val="8"/>
    </w:pPr>
    <w:rPr>
      <w:rFonts w:ascii="Arial" w:hAnsi="Arial" w:eastAsia="黑体"/>
      <w:szCs w:val="20"/>
    </w:rPr>
  </w:style>
  <w:style w:type="character" w:default="1" w:styleId="60">
    <w:name w:val="Default Paragraph Font"/>
    <w:semiHidden/>
    <w:unhideWhenUsed/>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232"/>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1260"/>
      <w:jc w:val="left"/>
    </w:pPr>
    <w:rPr>
      <w:szCs w:val="21"/>
    </w:rPr>
  </w:style>
  <w:style w:type="paragraph" w:styleId="14">
    <w:name w:val="List Bullet 4"/>
    <w:basedOn w:val="1"/>
    <w:qFormat/>
    <w:uiPriority w:val="0"/>
    <w:pPr>
      <w:tabs>
        <w:tab w:val="left" w:pos="1620"/>
      </w:tabs>
      <w:ind w:left="1620" w:leftChars="600" w:hanging="360" w:hangingChars="200"/>
    </w:pPr>
  </w:style>
  <w:style w:type="paragraph" w:styleId="15">
    <w:name w:val="caption"/>
    <w:basedOn w:val="1"/>
    <w:next w:val="1"/>
    <w:qFormat/>
    <w:uiPriority w:val="0"/>
    <w:pPr>
      <w:adjustRightInd w:val="0"/>
      <w:spacing w:before="152" w:after="160" w:line="312" w:lineRule="atLeast"/>
      <w:textAlignment w:val="baseline"/>
    </w:pPr>
    <w:rPr>
      <w:rFonts w:ascii="Arial" w:hAnsi="Arial" w:eastAsia="黑体"/>
      <w:b/>
      <w:kern w:val="0"/>
      <w:szCs w:val="20"/>
    </w:rPr>
  </w:style>
  <w:style w:type="paragraph" w:styleId="16">
    <w:name w:val="List Bullet"/>
    <w:basedOn w:val="1"/>
    <w:qFormat/>
    <w:uiPriority w:val="0"/>
    <w:pPr>
      <w:numPr>
        <w:ilvl w:val="0"/>
        <w:numId w:val="1"/>
      </w:numPr>
    </w:pPr>
    <w:rPr>
      <w:szCs w:val="20"/>
    </w:rPr>
  </w:style>
  <w:style w:type="paragraph" w:styleId="17">
    <w:name w:val="Document Map"/>
    <w:basedOn w:val="1"/>
    <w:link w:val="250"/>
    <w:semiHidden/>
    <w:qFormat/>
    <w:uiPriority w:val="0"/>
    <w:pPr>
      <w:shd w:val="clear" w:color="auto" w:fill="000080"/>
    </w:pPr>
  </w:style>
  <w:style w:type="paragraph" w:styleId="18">
    <w:name w:val="annotation text"/>
    <w:basedOn w:val="1"/>
    <w:link w:val="243"/>
    <w:qFormat/>
    <w:uiPriority w:val="0"/>
    <w:pPr>
      <w:autoSpaceDE w:val="0"/>
      <w:autoSpaceDN w:val="0"/>
      <w:adjustRightInd w:val="0"/>
      <w:jc w:val="left"/>
      <w:textAlignment w:val="baseline"/>
    </w:pPr>
    <w:rPr>
      <w:rFonts w:ascii="宋体"/>
      <w:kern w:val="0"/>
      <w:sz w:val="34"/>
      <w:szCs w:val="20"/>
    </w:rPr>
  </w:style>
  <w:style w:type="paragraph" w:styleId="19">
    <w:name w:val="index 6"/>
    <w:basedOn w:val="1"/>
    <w:next w:val="1"/>
    <w:qFormat/>
    <w:uiPriority w:val="0"/>
    <w:pPr>
      <w:ind w:left="1000" w:leftChars="1000"/>
    </w:pPr>
  </w:style>
  <w:style w:type="paragraph" w:styleId="20">
    <w:name w:val="Body Text 3"/>
    <w:basedOn w:val="1"/>
    <w:link w:val="298"/>
    <w:qFormat/>
    <w:uiPriority w:val="0"/>
    <w:pPr>
      <w:spacing w:after="120"/>
    </w:pPr>
    <w:rPr>
      <w:sz w:val="16"/>
      <w:szCs w:val="16"/>
    </w:rPr>
  </w:style>
  <w:style w:type="paragraph" w:styleId="21">
    <w:name w:val="List Bullet 3"/>
    <w:basedOn w:val="1"/>
    <w:qFormat/>
    <w:uiPriority w:val="0"/>
    <w:pPr>
      <w:tabs>
        <w:tab w:val="left" w:pos="1200"/>
      </w:tabs>
      <w:ind w:left="1200" w:leftChars="400" w:hanging="360" w:hangingChars="200"/>
    </w:pPr>
  </w:style>
  <w:style w:type="paragraph" w:styleId="22">
    <w:name w:val="Body Text"/>
    <w:basedOn w:val="1"/>
    <w:link w:val="241"/>
    <w:qFormat/>
    <w:uiPriority w:val="0"/>
    <w:pPr>
      <w:spacing w:line="360" w:lineRule="auto"/>
    </w:pPr>
    <w:rPr>
      <w:b/>
      <w:bCs/>
      <w:sz w:val="24"/>
    </w:rPr>
  </w:style>
  <w:style w:type="paragraph" w:styleId="23">
    <w:name w:val="Body Text Indent"/>
    <w:basedOn w:val="1"/>
    <w:link w:val="238"/>
    <w:qFormat/>
    <w:uiPriority w:val="0"/>
    <w:pPr>
      <w:spacing w:line="360" w:lineRule="auto"/>
      <w:ind w:firstLine="420" w:firstLineChars="200"/>
    </w:pPr>
  </w:style>
  <w:style w:type="paragraph" w:styleId="24">
    <w:name w:val="List 2"/>
    <w:basedOn w:val="25"/>
    <w:qFormat/>
    <w:uiPriority w:val="0"/>
    <w:pPr>
      <w:ind w:left="1080"/>
    </w:pPr>
  </w:style>
  <w:style w:type="paragraph" w:styleId="25">
    <w:name w:val="List"/>
    <w:basedOn w:val="22"/>
    <w:qFormat/>
    <w:uiPriority w:val="0"/>
    <w:pPr>
      <w:spacing w:after="220" w:line="220" w:lineRule="atLeast"/>
      <w:ind w:left="720" w:hanging="360"/>
    </w:pPr>
    <w:rPr>
      <w:b w:val="0"/>
      <w:bCs w:val="0"/>
      <w:sz w:val="21"/>
      <w:szCs w:val="20"/>
    </w:rPr>
  </w:style>
  <w:style w:type="paragraph" w:styleId="26">
    <w:name w:val="Block Text"/>
    <w:basedOn w:val="1"/>
    <w:qFormat/>
    <w:uiPriority w:val="0"/>
    <w:pPr>
      <w:spacing w:after="120"/>
      <w:ind w:left="1440" w:leftChars="700" w:right="1440" w:rightChars="700"/>
    </w:pPr>
  </w:style>
  <w:style w:type="paragraph" w:styleId="27">
    <w:name w:val="List Bullet 2"/>
    <w:basedOn w:val="1"/>
    <w:qFormat/>
    <w:uiPriority w:val="0"/>
    <w:pPr>
      <w:tabs>
        <w:tab w:val="left" w:pos="780"/>
      </w:tabs>
      <w:ind w:left="780" w:leftChars="200" w:hanging="360" w:hangingChars="200"/>
    </w:pPr>
  </w:style>
  <w:style w:type="paragraph" w:styleId="28">
    <w:name w:val="toc 5"/>
    <w:basedOn w:val="1"/>
    <w:next w:val="1"/>
    <w:semiHidden/>
    <w:qFormat/>
    <w:uiPriority w:val="0"/>
    <w:pPr>
      <w:ind w:left="840"/>
      <w:jc w:val="left"/>
    </w:pPr>
    <w:rPr>
      <w:szCs w:val="21"/>
    </w:rPr>
  </w:style>
  <w:style w:type="paragraph" w:styleId="29">
    <w:name w:val="toc 3"/>
    <w:basedOn w:val="1"/>
    <w:next w:val="1"/>
    <w:semiHidden/>
    <w:qFormat/>
    <w:uiPriority w:val="0"/>
    <w:pPr>
      <w:ind w:left="420"/>
      <w:jc w:val="left"/>
    </w:pPr>
    <w:rPr>
      <w:i/>
      <w:iCs/>
    </w:rPr>
  </w:style>
  <w:style w:type="paragraph" w:styleId="30">
    <w:name w:val="Plain Text"/>
    <w:basedOn w:val="1"/>
    <w:link w:val="234"/>
    <w:qFormat/>
    <w:uiPriority w:val="0"/>
    <w:rPr>
      <w:rFonts w:ascii="宋体" w:hAnsi="Courier New"/>
      <w:szCs w:val="20"/>
    </w:rPr>
  </w:style>
  <w:style w:type="paragraph" w:styleId="31">
    <w:name w:val="List Bullet 5"/>
    <w:basedOn w:val="1"/>
    <w:qFormat/>
    <w:uiPriority w:val="0"/>
    <w:pPr>
      <w:tabs>
        <w:tab w:val="left" w:pos="2040"/>
      </w:tabs>
      <w:ind w:left="2040" w:leftChars="800" w:hanging="360" w:hangingChars="200"/>
    </w:pPr>
  </w:style>
  <w:style w:type="paragraph" w:styleId="32">
    <w:name w:val="toc 8"/>
    <w:basedOn w:val="1"/>
    <w:next w:val="1"/>
    <w:semiHidden/>
    <w:qFormat/>
    <w:uiPriority w:val="0"/>
    <w:pPr>
      <w:ind w:left="1470"/>
      <w:jc w:val="left"/>
    </w:pPr>
    <w:rPr>
      <w:szCs w:val="21"/>
    </w:rPr>
  </w:style>
  <w:style w:type="paragraph" w:styleId="33">
    <w:name w:val="Date"/>
    <w:basedOn w:val="1"/>
    <w:next w:val="1"/>
    <w:link w:val="293"/>
    <w:qFormat/>
    <w:uiPriority w:val="0"/>
    <w:rPr>
      <w:rFonts w:ascii="宋体" w:hAnsi="Courier New"/>
      <w:sz w:val="32"/>
      <w:szCs w:val="20"/>
    </w:rPr>
  </w:style>
  <w:style w:type="paragraph" w:styleId="34">
    <w:name w:val="Body Text Indent 2"/>
    <w:basedOn w:val="1"/>
    <w:link w:val="295"/>
    <w:qFormat/>
    <w:uiPriority w:val="0"/>
    <w:pPr>
      <w:spacing w:beforeLines="50" w:afterLines="50" w:line="120" w:lineRule="auto"/>
      <w:ind w:firstLine="840" w:firstLineChars="400"/>
      <w:jc w:val="left"/>
    </w:pPr>
    <w:rPr>
      <w:rFonts w:ascii="宋体" w:hAnsi="宋体"/>
    </w:rPr>
  </w:style>
  <w:style w:type="paragraph" w:styleId="35">
    <w:name w:val="Balloon Text"/>
    <w:basedOn w:val="1"/>
    <w:link w:val="236"/>
    <w:qFormat/>
    <w:uiPriority w:val="0"/>
    <w:rPr>
      <w:sz w:val="18"/>
      <w:szCs w:val="18"/>
    </w:rPr>
  </w:style>
  <w:style w:type="paragraph" w:styleId="36">
    <w:name w:val="footer"/>
    <w:basedOn w:val="1"/>
    <w:link w:val="237"/>
    <w:qFormat/>
    <w:uiPriority w:val="0"/>
    <w:pPr>
      <w:tabs>
        <w:tab w:val="center" w:pos="4153"/>
        <w:tab w:val="right" w:pos="8306"/>
      </w:tabs>
      <w:snapToGrid w:val="0"/>
      <w:jc w:val="left"/>
    </w:pPr>
    <w:rPr>
      <w:sz w:val="18"/>
      <w:szCs w:val="18"/>
    </w:rPr>
  </w:style>
  <w:style w:type="paragraph" w:styleId="37">
    <w:name w:val="header"/>
    <w:basedOn w:val="1"/>
    <w:link w:val="248"/>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semiHidden/>
    <w:qFormat/>
    <w:uiPriority w:val="0"/>
    <w:pPr>
      <w:spacing w:before="120" w:after="120"/>
      <w:jc w:val="left"/>
    </w:pPr>
    <w:rPr>
      <w:b/>
      <w:bCs/>
      <w:caps/>
    </w:rPr>
  </w:style>
  <w:style w:type="paragraph" w:styleId="39">
    <w:name w:val="toc 4"/>
    <w:basedOn w:val="1"/>
    <w:next w:val="1"/>
    <w:semiHidden/>
    <w:qFormat/>
    <w:uiPriority w:val="0"/>
    <w:pPr>
      <w:ind w:left="630"/>
      <w:jc w:val="left"/>
    </w:pPr>
    <w:rPr>
      <w:szCs w:val="21"/>
    </w:rPr>
  </w:style>
  <w:style w:type="paragraph" w:styleId="40">
    <w:name w:val="index heading"/>
    <w:basedOn w:val="1"/>
    <w:next w:val="41"/>
    <w:qFormat/>
    <w:uiPriority w:val="0"/>
  </w:style>
  <w:style w:type="paragraph" w:styleId="41">
    <w:name w:val="index 1"/>
    <w:basedOn w:val="1"/>
    <w:next w:val="1"/>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2">
    <w:name w:val="toc 6"/>
    <w:basedOn w:val="1"/>
    <w:next w:val="1"/>
    <w:semiHidden/>
    <w:qFormat/>
    <w:uiPriority w:val="0"/>
    <w:pPr>
      <w:ind w:left="1050"/>
      <w:jc w:val="left"/>
    </w:pPr>
    <w:rPr>
      <w:szCs w:val="21"/>
    </w:rPr>
  </w:style>
  <w:style w:type="paragraph" w:styleId="43">
    <w:name w:val="List 5"/>
    <w:basedOn w:val="1"/>
    <w:qFormat/>
    <w:uiPriority w:val="0"/>
    <w:pPr>
      <w:ind w:left="2100" w:hanging="420"/>
    </w:pPr>
    <w:rPr>
      <w:szCs w:val="20"/>
    </w:rPr>
  </w:style>
  <w:style w:type="paragraph" w:styleId="44">
    <w:name w:val="Body Text Indent 3"/>
    <w:basedOn w:val="1"/>
    <w:link w:val="296"/>
    <w:qFormat/>
    <w:uiPriority w:val="0"/>
    <w:pPr>
      <w:spacing w:line="360" w:lineRule="auto"/>
      <w:ind w:firstLine="482" w:firstLineChars="200"/>
    </w:pPr>
    <w:rPr>
      <w:rFonts w:ascii="宋体"/>
      <w:b/>
      <w:bCs/>
      <w:sz w:val="24"/>
    </w:r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297"/>
    <w:qFormat/>
    <w:uiPriority w:val="0"/>
    <w:pPr>
      <w:spacing w:line="360" w:lineRule="auto"/>
    </w:pPr>
    <w:rPr>
      <w:sz w:val="24"/>
    </w:rPr>
  </w:style>
  <w:style w:type="paragraph" w:styleId="48">
    <w:name w:val="HTML Preformatted"/>
    <w:basedOn w:val="1"/>
    <w:link w:val="2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index 2"/>
    <w:basedOn w:val="1"/>
    <w:next w:val="1"/>
    <w:qFormat/>
    <w:uiPriority w:val="0"/>
    <w:pPr>
      <w:adjustRightInd w:val="0"/>
      <w:spacing w:line="315" w:lineRule="atLeast"/>
      <w:ind w:left="420"/>
      <w:jc w:val="left"/>
      <w:textAlignment w:val="baseline"/>
    </w:pPr>
    <w:rPr>
      <w:rFonts w:ascii="宋体"/>
      <w:kern w:val="0"/>
    </w:rPr>
  </w:style>
  <w:style w:type="paragraph" w:styleId="51">
    <w:name w:val="Title"/>
    <w:basedOn w:val="1"/>
    <w:link w:val="292"/>
    <w:qFormat/>
    <w:uiPriority w:val="0"/>
    <w:pPr>
      <w:spacing w:before="240" w:after="60"/>
      <w:jc w:val="center"/>
      <w:outlineLvl w:val="0"/>
    </w:pPr>
    <w:rPr>
      <w:rFonts w:ascii="Arial" w:hAnsi="Arial" w:eastAsia="隶书" w:cs="Arial"/>
      <w:b/>
      <w:bCs/>
      <w:sz w:val="32"/>
      <w:szCs w:val="32"/>
    </w:rPr>
  </w:style>
  <w:style w:type="paragraph" w:styleId="52">
    <w:name w:val="annotation subject"/>
    <w:basedOn w:val="18"/>
    <w:next w:val="18"/>
    <w:link w:val="244"/>
    <w:qFormat/>
    <w:uiPriority w:val="0"/>
    <w:pPr>
      <w:autoSpaceDE/>
      <w:autoSpaceDN/>
      <w:adjustRightInd/>
      <w:textAlignment w:val="auto"/>
    </w:pPr>
    <w:rPr>
      <w:b/>
      <w:bCs/>
      <w:kern w:val="2"/>
      <w:sz w:val="21"/>
    </w:rPr>
  </w:style>
  <w:style w:type="paragraph" w:styleId="53">
    <w:name w:val="Body Text First Indent"/>
    <w:basedOn w:val="22"/>
    <w:link w:val="242"/>
    <w:qFormat/>
    <w:uiPriority w:val="0"/>
    <w:pPr>
      <w:spacing w:after="120" w:line="240" w:lineRule="auto"/>
      <w:ind w:firstLine="420" w:firstLineChars="100"/>
    </w:pPr>
    <w:rPr>
      <w:sz w:val="21"/>
    </w:rPr>
  </w:style>
  <w:style w:type="paragraph" w:styleId="54">
    <w:name w:val="Body Text First Indent 2"/>
    <w:basedOn w:val="23"/>
    <w:link w:val="239"/>
    <w:qFormat/>
    <w:uiPriority w:val="0"/>
    <w:pPr>
      <w:spacing w:after="120" w:line="240" w:lineRule="auto"/>
      <w:ind w:left="420" w:firstLine="210" w:firstLineChars="0"/>
    </w:pPr>
    <w:rPr>
      <w:szCs w:val="20"/>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Theme"/>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8">
    <w:name w:val="Table Grid 2"/>
    <w:basedOn w:val="55"/>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59">
    <w:name w:val="Table Grid 3"/>
    <w:basedOn w:val="55"/>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61">
    <w:name w:val="Strong"/>
    <w:qFormat/>
    <w:uiPriority w:val="22"/>
    <w:rPr>
      <w:b/>
      <w:bCs/>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color w:val="CC0000"/>
    </w:rPr>
  </w:style>
  <w:style w:type="character" w:styleId="65">
    <w:name w:val="Hyperlink"/>
    <w:qFormat/>
    <w:uiPriority w:val="0"/>
    <w:rPr>
      <w:color w:val="0000FF"/>
      <w:u w:val="single"/>
    </w:rPr>
  </w:style>
  <w:style w:type="character" w:styleId="66">
    <w:name w:val="annotation reference"/>
    <w:qFormat/>
    <w:uiPriority w:val="0"/>
    <w:rPr>
      <w:sz w:val="21"/>
      <w:szCs w:val="21"/>
    </w:rPr>
  </w:style>
  <w:style w:type="paragraph" w:customStyle="1" w:styleId="67">
    <w:name w:val="Char Char8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7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5">
    <w:name w:val="自定义正文"/>
    <w:basedOn w:val="1"/>
    <w:qFormat/>
    <w:uiPriority w:val="0"/>
    <w:pPr>
      <w:spacing w:afterLines="50"/>
      <w:ind w:left="600" w:leftChars="600"/>
    </w:pPr>
  </w:style>
  <w:style w:type="paragraph" w:customStyle="1" w:styleId="76">
    <w:name w:val="Char Char Char Char Char"/>
    <w:basedOn w:val="1"/>
    <w:qFormat/>
    <w:uiPriority w:val="0"/>
    <w:rPr>
      <w:rFonts w:ascii="Tahoma" w:hAnsi="Tahoma"/>
      <w:sz w:val="24"/>
      <w:szCs w:val="20"/>
    </w:rPr>
  </w:style>
  <w:style w:type="paragraph" w:customStyle="1" w:styleId="7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8">
    <w:name w:val="Char Char"/>
    <w:basedOn w:val="1"/>
    <w:qFormat/>
    <w:uiPriority w:val="0"/>
    <w:rPr>
      <w:rFonts w:ascii="Tahoma" w:hAnsi="Tahoma"/>
      <w:sz w:val="24"/>
      <w:szCs w:val="20"/>
    </w:rPr>
  </w:style>
  <w:style w:type="paragraph" w:customStyle="1" w:styleId="79">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8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1">
    <w:name w:val="font6"/>
    <w:basedOn w:val="1"/>
    <w:qFormat/>
    <w:uiPriority w:val="0"/>
    <w:pPr>
      <w:widowControl/>
      <w:spacing w:before="100" w:beforeAutospacing="1" w:after="100" w:afterAutospacing="1"/>
      <w:jc w:val="left"/>
    </w:pPr>
    <w:rPr>
      <w:rFonts w:hint="eastAsia" w:ascii="黑体" w:hAnsi="Arial Unicode MS" w:eastAsia="黑体" w:cs="Arial Unicode MS"/>
      <w:kern w:val="0"/>
      <w:sz w:val="24"/>
    </w:rPr>
  </w:style>
  <w:style w:type="paragraph" w:customStyle="1" w:styleId="82">
    <w:name w:val="表格内文"/>
    <w:basedOn w:val="1"/>
    <w:qFormat/>
    <w:uiPriority w:val="0"/>
    <w:pPr>
      <w:spacing w:before="60" w:after="60"/>
      <w:jc w:val="center"/>
    </w:pPr>
    <w:rPr>
      <w:rFonts w:eastAsia="文鼎CS书宋二"/>
      <w:w w:val="95"/>
      <w:sz w:val="18"/>
      <w:szCs w:val="20"/>
    </w:rPr>
  </w:style>
  <w:style w:type="paragraph" w:customStyle="1" w:styleId="83">
    <w:name w:val="内正文"/>
    <w:basedOn w:val="1"/>
    <w:qFormat/>
    <w:uiPriority w:val="0"/>
    <w:pPr>
      <w:ind w:firstLine="420"/>
    </w:pPr>
    <w:rPr>
      <w:rFonts w:eastAsia="文鼎CS书宋二"/>
      <w:szCs w:val="20"/>
    </w:rPr>
  </w:style>
  <w:style w:type="paragraph" w:customStyle="1" w:styleId="84">
    <w:name w:val="样式1"/>
    <w:basedOn w:val="51"/>
    <w:qFormat/>
    <w:uiPriority w:val="0"/>
    <w:pPr>
      <w:spacing w:before="120" w:after="120"/>
    </w:pPr>
    <w:rPr>
      <w:rFonts w:eastAsia="黑体"/>
      <w:b w:val="0"/>
      <w:sz w:val="30"/>
      <w:szCs w:val="21"/>
    </w:rPr>
  </w:style>
  <w:style w:type="paragraph" w:customStyle="1" w:styleId="85">
    <w:name w:val="样式2"/>
    <w:basedOn w:val="51"/>
    <w:next w:val="84"/>
    <w:qFormat/>
    <w:uiPriority w:val="0"/>
    <w:pPr>
      <w:spacing w:before="120" w:after="120"/>
    </w:pPr>
    <w:rPr>
      <w:rFonts w:eastAsia="黑体"/>
      <w:b w:val="0"/>
      <w:sz w:val="30"/>
      <w:szCs w:val="30"/>
    </w:rPr>
  </w:style>
  <w:style w:type="paragraph" w:customStyle="1" w:styleId="86">
    <w:name w:val="内正文篇标"/>
    <w:basedOn w:val="83"/>
    <w:qFormat/>
    <w:uiPriority w:val="0"/>
    <w:pPr>
      <w:ind w:firstLine="2354" w:firstLineChars="654"/>
      <w:jc w:val="left"/>
    </w:pPr>
    <w:rPr>
      <w:rFonts w:ascii="宋体" w:hAnsi="宋体" w:eastAsia="宋体"/>
      <w:w w:val="90"/>
      <w:sz w:val="40"/>
    </w:rPr>
  </w:style>
  <w:style w:type="paragraph" w:customStyle="1" w:styleId="87">
    <w:name w:val="内正文加粗"/>
    <w:basedOn w:val="83"/>
    <w:qFormat/>
    <w:uiPriority w:val="0"/>
    <w:pPr>
      <w:spacing w:before="60" w:after="60"/>
    </w:pPr>
    <w:rPr>
      <w:b/>
    </w:rPr>
  </w:style>
  <w:style w:type="paragraph" w:customStyle="1" w:styleId="88">
    <w:name w:val="正文未缩进"/>
    <w:basedOn w:val="1"/>
    <w:qFormat/>
    <w:uiPriority w:val="0"/>
    <w:rPr>
      <w:rFonts w:eastAsia="文鼎CS书宋二"/>
      <w:szCs w:val="20"/>
    </w:rPr>
  </w:style>
  <w:style w:type="paragraph" w:customStyle="1" w:styleId="89">
    <w:name w:val="小标题"/>
    <w:basedOn w:val="1"/>
    <w:qFormat/>
    <w:uiPriority w:val="0"/>
    <w:pPr>
      <w:spacing w:before="240" w:after="240"/>
      <w:jc w:val="center"/>
    </w:pPr>
    <w:rPr>
      <w:rFonts w:eastAsia="创艺简黑体"/>
      <w:b/>
      <w:w w:val="95"/>
      <w:szCs w:val="20"/>
    </w:rPr>
  </w:style>
  <w:style w:type="paragraph" w:customStyle="1" w:styleId="90">
    <w:name w:val="表格标题"/>
    <w:basedOn w:val="89"/>
    <w:qFormat/>
    <w:uiPriority w:val="0"/>
    <w:pPr>
      <w:spacing w:before="120" w:after="60"/>
    </w:pPr>
    <w:rPr>
      <w:rFonts w:eastAsia="文鼎CS大宋"/>
      <w:b w:val="0"/>
      <w:sz w:val="28"/>
    </w:rPr>
  </w:style>
  <w:style w:type="paragraph" w:customStyle="1" w:styleId="91">
    <w:name w:val="节标题"/>
    <w:basedOn w:val="1"/>
    <w:qFormat/>
    <w:uiPriority w:val="0"/>
    <w:pPr>
      <w:spacing w:before="240" w:after="240"/>
      <w:jc w:val="center"/>
    </w:pPr>
    <w:rPr>
      <w:rFonts w:eastAsia="文鼎CS长美黑"/>
      <w:w w:val="95"/>
      <w:sz w:val="32"/>
      <w:szCs w:val="20"/>
    </w:rPr>
  </w:style>
  <w:style w:type="paragraph" w:customStyle="1" w:styleId="92">
    <w:name w:val="说明"/>
    <w:basedOn w:val="89"/>
    <w:qFormat/>
    <w:uiPriority w:val="0"/>
    <w:pPr>
      <w:spacing w:before="0" w:after="0" w:line="288" w:lineRule="auto"/>
      <w:ind w:firstLine="420"/>
      <w:jc w:val="both"/>
    </w:pPr>
    <w:rPr>
      <w:rFonts w:ascii="文鼎中楷" w:eastAsia="文鼎中楷"/>
      <w:b w:val="0"/>
    </w:rPr>
  </w:style>
  <w:style w:type="paragraph" w:customStyle="1" w:styleId="93">
    <w:name w:val="Definition Term"/>
    <w:basedOn w:val="1"/>
    <w:next w:val="1"/>
    <w:qFormat/>
    <w:uiPriority w:val="0"/>
    <w:pPr>
      <w:autoSpaceDE w:val="0"/>
      <w:autoSpaceDN w:val="0"/>
      <w:adjustRightInd w:val="0"/>
      <w:jc w:val="left"/>
    </w:pPr>
    <w:rPr>
      <w:kern w:val="0"/>
      <w:sz w:val="24"/>
      <w:szCs w:val="20"/>
    </w:rPr>
  </w:style>
  <w:style w:type="paragraph" w:customStyle="1" w:styleId="9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5">
    <w:name w:val="font7"/>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97">
    <w:name w:val="xl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unga" w:hAnsi="Tunga"/>
      <w:kern w:val="0"/>
      <w:sz w:val="22"/>
      <w:szCs w:val="22"/>
    </w:rPr>
  </w:style>
  <w:style w:type="paragraph" w:customStyle="1" w:styleId="98">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99">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00">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01">
    <w:name w:val="xl29"/>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02">
    <w:name w:val="xl30"/>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03">
    <w:name w:val="xl3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05">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06">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07">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08">
    <w:name w:val="xl36"/>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09">
    <w:name w:val="xl37"/>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10">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11">
    <w:name w:val="xl3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12">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13">
    <w:name w:val="xl4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14">
    <w:name w:val="xl4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15">
    <w:name w:val="xl4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16">
    <w:name w:val="xl44"/>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17">
    <w:name w:val="char"/>
    <w:basedOn w:val="3"/>
    <w:qFormat/>
    <w:uiPriority w:val="0"/>
    <w:pPr>
      <w:spacing w:line="360" w:lineRule="auto"/>
      <w:ind w:firstLine="2560" w:firstLineChars="800"/>
    </w:pPr>
    <w:rPr>
      <w:b w:val="0"/>
      <w:bCs w:val="0"/>
      <w:sz w:val="32"/>
      <w:szCs w:val="20"/>
    </w:rPr>
  </w:style>
  <w:style w:type="paragraph" w:customStyle="1" w:styleId="118">
    <w:name w:val="标题4 Char"/>
    <w:basedOn w:val="1"/>
    <w:qFormat/>
    <w:uiPriority w:val="0"/>
    <w:pPr>
      <w:spacing w:line="360" w:lineRule="auto"/>
      <w:ind w:firstLine="538" w:firstLineChars="192"/>
      <w:jc w:val="left"/>
    </w:pPr>
    <w:rPr>
      <w:rFonts w:ascii="宋体" w:hAnsi="宋体"/>
      <w:color w:val="000000"/>
      <w:sz w:val="28"/>
      <w:szCs w:val="28"/>
    </w:rPr>
  </w:style>
  <w:style w:type="paragraph" w:customStyle="1" w:styleId="119">
    <w:name w:val="投标人须知1"/>
    <w:basedOn w:val="1"/>
    <w:qFormat/>
    <w:uiPriority w:val="0"/>
    <w:pPr>
      <w:spacing w:line="480" w:lineRule="auto"/>
      <w:ind w:left="833" w:hanging="113"/>
      <w:jc w:val="left"/>
    </w:pPr>
    <w:rPr>
      <w:b/>
      <w:sz w:val="24"/>
    </w:rPr>
  </w:style>
  <w:style w:type="paragraph" w:customStyle="1" w:styleId="120">
    <w:name w:val="投标人须知2"/>
    <w:basedOn w:val="1"/>
    <w:qFormat/>
    <w:uiPriority w:val="0"/>
    <w:pPr>
      <w:spacing w:line="300" w:lineRule="auto"/>
      <w:ind w:left="653" w:hanging="113"/>
      <w:jc w:val="left"/>
    </w:pPr>
    <w:rPr>
      <w:szCs w:val="21"/>
    </w:rPr>
  </w:style>
  <w:style w:type="paragraph" w:customStyle="1" w:styleId="121">
    <w:name w:val="投标人须知3"/>
    <w:basedOn w:val="1"/>
    <w:qFormat/>
    <w:uiPriority w:val="0"/>
    <w:pPr>
      <w:spacing w:line="300" w:lineRule="auto"/>
      <w:ind w:left="679" w:hanging="225"/>
      <w:jc w:val="left"/>
    </w:pPr>
  </w:style>
  <w:style w:type="paragraph" w:customStyle="1" w:styleId="122">
    <w:name w:val="投标人须知4"/>
    <w:basedOn w:val="1"/>
    <w:qFormat/>
    <w:uiPriority w:val="0"/>
    <w:pPr>
      <w:spacing w:line="300" w:lineRule="auto"/>
      <w:ind w:left="794" w:hanging="340"/>
      <w:jc w:val="left"/>
    </w:pPr>
  </w:style>
  <w:style w:type="paragraph" w:customStyle="1" w:styleId="123">
    <w:name w:val="样式 投标人须知1 + (符号) 宋体"/>
    <w:basedOn w:val="119"/>
    <w:qFormat/>
    <w:uiPriority w:val="0"/>
    <w:pPr>
      <w:tabs>
        <w:tab w:val="left" w:pos="360"/>
      </w:tabs>
      <w:ind w:left="360" w:hanging="360"/>
      <w:outlineLvl w:val="1"/>
    </w:pPr>
    <w:rPr>
      <w:bCs/>
    </w:rPr>
  </w:style>
  <w:style w:type="paragraph" w:customStyle="1" w:styleId="124">
    <w:name w:val="Char Char Char Char Char1 Char Char Char Char Char Char Char Char Char Char"/>
    <w:basedOn w:val="1"/>
    <w:qFormat/>
    <w:uiPriority w:val="0"/>
    <w:rPr>
      <w:rFonts w:ascii="仿宋_GB2312" w:eastAsia="仿宋_GB2312"/>
      <w:b/>
      <w:sz w:val="32"/>
      <w:szCs w:val="32"/>
    </w:rPr>
  </w:style>
  <w:style w:type="paragraph" w:customStyle="1" w:styleId="125">
    <w:name w:val="表格内文1"/>
    <w:basedOn w:val="82"/>
    <w:qFormat/>
    <w:uiPriority w:val="0"/>
  </w:style>
  <w:style w:type="paragraph" w:customStyle="1" w:styleId="126">
    <w:name w:val="001"/>
    <w:basedOn w:val="127"/>
    <w:qFormat/>
    <w:uiPriority w:val="0"/>
  </w:style>
  <w:style w:type="paragraph" w:customStyle="1" w:styleId="127">
    <w:name w:val="05"/>
    <w:basedOn w:val="128"/>
    <w:qFormat/>
    <w:uiPriority w:val="0"/>
  </w:style>
  <w:style w:type="paragraph" w:customStyle="1" w:styleId="128">
    <w:name w:val="01"/>
    <w:basedOn w:val="129"/>
    <w:qFormat/>
    <w:uiPriority w:val="0"/>
  </w:style>
  <w:style w:type="paragraph" w:customStyle="1" w:styleId="129">
    <w:name w:val="表格内文2"/>
    <w:basedOn w:val="82"/>
    <w:qFormat/>
    <w:uiPriority w:val="0"/>
  </w:style>
  <w:style w:type="paragraph" w:customStyle="1" w:styleId="130">
    <w:name w:val="002"/>
    <w:basedOn w:val="83"/>
    <w:qFormat/>
    <w:uiPriority w:val="0"/>
    <w:pPr>
      <w:spacing w:before="62" w:after="62"/>
      <w:jc w:val="center"/>
    </w:pPr>
  </w:style>
  <w:style w:type="paragraph" w:customStyle="1" w:styleId="131">
    <w:name w:val="表格下注"/>
    <w:basedOn w:val="83"/>
    <w:qFormat/>
    <w:uiPriority w:val="0"/>
    <w:pPr>
      <w:ind w:left="798" w:hanging="378"/>
    </w:pPr>
    <w:rPr>
      <w:sz w:val="18"/>
    </w:rPr>
  </w:style>
  <w:style w:type="paragraph" w:customStyle="1" w:styleId="132">
    <w:name w:val="正文A"/>
    <w:basedOn w:val="83"/>
    <w:qFormat/>
    <w:uiPriority w:val="0"/>
    <w:pPr>
      <w:tabs>
        <w:tab w:val="center" w:pos="3780"/>
        <w:tab w:val="left" w:pos="7140"/>
      </w:tabs>
      <w:spacing w:before="120"/>
      <w:ind w:right="196"/>
      <w:jc w:val="right"/>
    </w:pPr>
    <w:rPr>
      <w:rFonts w:eastAsia="宋体"/>
      <w:b/>
      <w:bCs/>
      <w:w w:val="95"/>
    </w:rPr>
  </w:style>
  <w:style w:type="paragraph" w:customStyle="1" w:styleId="133">
    <w:name w:val="font8"/>
    <w:basedOn w:val="1"/>
    <w:qFormat/>
    <w:uiPriority w:val="0"/>
    <w:pPr>
      <w:widowControl/>
      <w:spacing w:before="100" w:beforeAutospacing="1" w:after="100" w:afterAutospacing="1"/>
      <w:jc w:val="left"/>
    </w:pPr>
    <w:rPr>
      <w:rFonts w:hint="eastAsia" w:ascii="宋体" w:hAnsi="宋体"/>
      <w:b/>
      <w:bCs/>
      <w:kern w:val="0"/>
      <w:sz w:val="20"/>
      <w:szCs w:val="20"/>
      <w:u w:val="single"/>
    </w:rPr>
  </w:style>
  <w:style w:type="paragraph" w:customStyle="1" w:styleId="134">
    <w:name w:val="font9"/>
    <w:basedOn w:val="1"/>
    <w:qFormat/>
    <w:uiPriority w:val="0"/>
    <w:pPr>
      <w:widowControl/>
      <w:spacing w:before="100" w:beforeAutospacing="1" w:after="100" w:afterAutospacing="1"/>
      <w:jc w:val="left"/>
    </w:pPr>
    <w:rPr>
      <w:rFonts w:hint="eastAsia" w:ascii="宋体" w:hAnsi="宋体"/>
      <w:kern w:val="0"/>
      <w:sz w:val="20"/>
      <w:szCs w:val="20"/>
      <w:u w:val="single"/>
    </w:rPr>
  </w:style>
  <w:style w:type="paragraph" w:customStyle="1" w:styleId="135">
    <w:name w:val="font10"/>
    <w:basedOn w:val="1"/>
    <w:qFormat/>
    <w:uiPriority w:val="0"/>
    <w:pPr>
      <w:widowControl/>
      <w:spacing w:before="100" w:beforeAutospacing="1" w:after="100" w:afterAutospacing="1"/>
      <w:jc w:val="left"/>
    </w:pPr>
    <w:rPr>
      <w:b/>
      <w:bCs/>
      <w:kern w:val="0"/>
      <w:sz w:val="20"/>
      <w:szCs w:val="20"/>
      <w:u w:val="single"/>
    </w:rPr>
  </w:style>
  <w:style w:type="paragraph" w:customStyle="1" w:styleId="136">
    <w:name w:val="font11"/>
    <w:basedOn w:val="1"/>
    <w:qFormat/>
    <w:uiPriority w:val="0"/>
    <w:pPr>
      <w:widowControl/>
      <w:spacing w:before="100" w:beforeAutospacing="1" w:after="100" w:afterAutospacing="1"/>
      <w:jc w:val="left"/>
    </w:pPr>
    <w:rPr>
      <w:kern w:val="0"/>
      <w:sz w:val="20"/>
      <w:szCs w:val="20"/>
    </w:rPr>
  </w:style>
  <w:style w:type="paragraph" w:customStyle="1" w:styleId="137">
    <w:name w:val="font12"/>
    <w:basedOn w:val="1"/>
    <w:qFormat/>
    <w:uiPriority w:val="0"/>
    <w:pPr>
      <w:widowControl/>
      <w:spacing w:before="100" w:beforeAutospacing="1" w:after="100" w:afterAutospacing="1"/>
      <w:jc w:val="left"/>
    </w:pPr>
    <w:rPr>
      <w:kern w:val="0"/>
      <w:sz w:val="20"/>
      <w:szCs w:val="20"/>
    </w:rPr>
  </w:style>
  <w:style w:type="paragraph" w:customStyle="1" w:styleId="138">
    <w:name w:val="xl22"/>
    <w:basedOn w:val="1"/>
    <w:qFormat/>
    <w:uiPriority w:val="0"/>
    <w:pPr>
      <w:widowControl/>
      <w:spacing w:before="100" w:beforeAutospacing="1" w:after="100" w:afterAutospacing="1"/>
      <w:jc w:val="center"/>
      <w:textAlignment w:val="center"/>
    </w:pPr>
    <w:rPr>
      <w:rFonts w:ascii="宋体" w:hAnsi="宋体"/>
      <w:b/>
      <w:bCs/>
      <w:kern w:val="0"/>
      <w:sz w:val="28"/>
      <w:szCs w:val="28"/>
    </w:rPr>
  </w:style>
  <w:style w:type="paragraph" w:customStyle="1" w:styleId="139">
    <w:name w:val="xl23"/>
    <w:basedOn w:val="1"/>
    <w:qFormat/>
    <w:uiPriority w:val="0"/>
    <w:pPr>
      <w:widowControl/>
      <w:spacing w:before="100" w:beforeAutospacing="1" w:after="100" w:afterAutospacing="1"/>
      <w:jc w:val="center"/>
      <w:textAlignment w:val="center"/>
    </w:pPr>
    <w:rPr>
      <w:rFonts w:hint="eastAsia" w:ascii="黑体" w:hAnsi="宋体" w:eastAsia="黑体"/>
      <w:kern w:val="0"/>
      <w:sz w:val="22"/>
      <w:szCs w:val="22"/>
    </w:rPr>
  </w:style>
  <w:style w:type="paragraph" w:customStyle="1" w:styleId="14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14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42">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43">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6">
    <w:name w:val="样式 三号 加粗 居中"/>
    <w:basedOn w:val="51"/>
    <w:qFormat/>
    <w:uiPriority w:val="0"/>
    <w:rPr>
      <w:rFonts w:eastAsia="宋体" w:cs="宋体"/>
      <w:b w:val="0"/>
      <w:bCs w:val="0"/>
    </w:rPr>
  </w:style>
  <w:style w:type="paragraph" w:customStyle="1" w:styleId="147">
    <w:name w:val="样式 章标题"/>
    <w:basedOn w:val="51"/>
    <w:qFormat/>
    <w:uiPriority w:val="0"/>
    <w:pPr>
      <w:tabs>
        <w:tab w:val="left" w:pos="1590"/>
      </w:tabs>
      <w:ind w:left="1590" w:hanging="1590"/>
    </w:pPr>
    <w:rPr>
      <w:rFonts w:eastAsia="宋体"/>
      <w:b w:val="0"/>
      <w:bCs w:val="0"/>
    </w:rPr>
  </w:style>
  <w:style w:type="paragraph" w:customStyle="1" w:styleId="148">
    <w:name w:val="样式 章标题 20 加粗 居中"/>
    <w:basedOn w:val="147"/>
    <w:qFormat/>
    <w:uiPriority w:val="0"/>
    <w:rPr>
      <w:rFonts w:cs="宋体"/>
      <w:b/>
      <w:bCs/>
      <w:sz w:val="40"/>
    </w:rPr>
  </w:style>
  <w:style w:type="paragraph" w:customStyle="1" w:styleId="149">
    <w:name w:val="样式 章标题 + 宋体 加粗 倾斜 黑色"/>
    <w:basedOn w:val="5"/>
    <w:qFormat/>
    <w:uiPriority w:val="0"/>
    <w:pPr>
      <w:adjustRightInd/>
      <w:spacing w:before="480" w:after="120"/>
      <w:textAlignment w:val="auto"/>
      <w:outlineLvl w:val="9"/>
    </w:pPr>
    <w:rPr>
      <w:i/>
      <w:iCs/>
      <w:color w:val="000000"/>
      <w:w w:val="80"/>
      <w:kern w:val="2"/>
      <w:sz w:val="40"/>
    </w:rPr>
  </w:style>
  <w:style w:type="paragraph" w:customStyle="1" w:styleId="150">
    <w:name w:val="样式 小标题 + 宋体 黑色 首行缩进:  0.74 厘米"/>
    <w:basedOn w:val="22"/>
    <w:qFormat/>
    <w:uiPriority w:val="0"/>
    <w:pPr>
      <w:spacing w:after="120" w:line="240" w:lineRule="auto"/>
      <w:ind w:firstLine="420"/>
    </w:pPr>
    <w:rPr>
      <w:rFonts w:ascii="宋体" w:hAnsi="宋体" w:cs="宋体"/>
      <w:b w:val="0"/>
      <w:bCs w:val="0"/>
      <w:color w:val="000000"/>
      <w:sz w:val="21"/>
      <w:szCs w:val="20"/>
    </w:rPr>
  </w:style>
  <w:style w:type="paragraph" w:customStyle="1" w:styleId="151">
    <w:name w:val="样式 小标题 + (中文) 宋体 加粗 黑色 段前: 0 磅 段后: 0 磅 行距: 多倍行距 1.25 字行"/>
    <w:basedOn w:val="89"/>
    <w:next w:val="22"/>
    <w:qFormat/>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52">
    <w:name w:val="样式 小标题 + (中文) 宋体 加粗 黑色 段前: 0 磅 段后: 0 磅 行距: 多倍行距 1.25 字行1"/>
    <w:basedOn w:val="89"/>
    <w:next w:val="54"/>
    <w:qFormat/>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53">
    <w:name w:val="样式 样式 小标题 + (中文) 宋体 加粗 黑色 段前: 0 磅 段后: 0 磅 行距: 多倍行距 1.25 字行1 + 非加..."/>
    <w:basedOn w:val="152"/>
    <w:next w:val="54"/>
    <w:qFormat/>
    <w:uiPriority w:val="0"/>
    <w:pPr>
      <w:ind w:firstLine="420"/>
    </w:pPr>
    <w:rPr>
      <w:b w:val="0"/>
      <w:bCs w:val="0"/>
    </w:rPr>
  </w:style>
  <w:style w:type="paragraph" w:customStyle="1" w:styleId="154">
    <w:name w:val="前言、引言标题"/>
    <w:next w:val="1"/>
    <w:qFormat/>
    <w:uiPriority w:val="0"/>
    <w:pPr>
      <w:shd w:val="clear" w:color="FFFFFF" w:fill="FFFFFF"/>
      <w:tabs>
        <w:tab w:val="left" w:pos="360"/>
        <w:tab w:val="left" w:pos="760"/>
      </w:tabs>
      <w:spacing w:before="640" w:after="560"/>
      <w:ind w:left="717" w:hanging="317"/>
      <w:jc w:val="center"/>
      <w:outlineLvl w:val="0"/>
    </w:pPr>
    <w:rPr>
      <w:rFonts w:ascii="黑体" w:hAnsi="Times New Roman" w:eastAsia="黑体" w:cs="Times New Roman"/>
      <w:sz w:val="32"/>
      <w:lang w:val="en-US" w:eastAsia="zh-CN" w:bidi="ar-SA"/>
    </w:rPr>
  </w:style>
  <w:style w:type="paragraph" w:customStyle="1" w:styleId="155">
    <w:name w:val="列项●（二级）"/>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156">
    <w:name w:val="二级条标题"/>
    <w:basedOn w:val="1"/>
    <w:next w:val="1"/>
    <w:qFormat/>
    <w:uiPriority w:val="0"/>
    <w:pPr>
      <w:widowControl/>
      <w:tabs>
        <w:tab w:val="left" w:pos="1680"/>
      </w:tabs>
      <w:ind w:left="1680" w:hanging="420"/>
      <w:jc w:val="left"/>
      <w:outlineLvl w:val="3"/>
    </w:pPr>
    <w:rPr>
      <w:rFonts w:eastAsia="黑体"/>
      <w:kern w:val="0"/>
      <w:szCs w:val="20"/>
    </w:rPr>
  </w:style>
  <w:style w:type="paragraph" w:styleId="157">
    <w:name w:val="Intense Quote"/>
    <w:basedOn w:val="1"/>
    <w:next w:val="1"/>
    <w:link w:val="246"/>
    <w:qFormat/>
    <w:uiPriority w:val="0"/>
    <w:pPr>
      <w:pBdr>
        <w:bottom w:val="single" w:color="4F81BD" w:sz="4" w:space="4"/>
      </w:pBdr>
      <w:spacing w:before="200" w:after="280"/>
      <w:ind w:left="936" w:right="936"/>
    </w:pPr>
    <w:rPr>
      <w:b/>
      <w:bCs/>
      <w:i/>
      <w:iCs/>
      <w:color w:val="4F81BD"/>
    </w:rPr>
  </w:style>
  <w:style w:type="paragraph" w:customStyle="1" w:styleId="158">
    <w:name w:val="Char1 Char Char Char Char Char Char Char Char Char Char Char Char"/>
    <w:basedOn w:val="1"/>
    <w:qFormat/>
    <w:uiPriority w:val="0"/>
    <w:rPr>
      <w:rFonts w:ascii="仿宋_GB2312" w:eastAsia="仿宋_GB2312"/>
      <w:b/>
      <w:sz w:val="32"/>
      <w:szCs w:val="32"/>
    </w:rPr>
  </w:style>
  <w:style w:type="paragraph" w:customStyle="1" w:styleId="159">
    <w:name w:val="缩进正文"/>
    <w:basedOn w:val="1"/>
    <w:link w:val="253"/>
    <w:qFormat/>
    <w:uiPriority w:val="0"/>
    <w:pPr>
      <w:ind w:firstLine="560" w:firstLineChars="200"/>
    </w:pPr>
    <w:rPr>
      <w:rFonts w:eastAsia="仿宋_GB2312" w:cs="宋体"/>
      <w:sz w:val="28"/>
      <w:szCs w:val="20"/>
    </w:rPr>
  </w:style>
  <w:style w:type="paragraph" w:customStyle="1" w:styleId="160">
    <w:name w:val="11"/>
    <w:basedOn w:val="2"/>
    <w:next w:val="1"/>
    <w:qFormat/>
    <w:uiPriority w:val="39"/>
    <w:pPr>
      <w:widowControl/>
      <w:spacing w:before="480" w:after="0" w:line="276" w:lineRule="auto"/>
      <w:jc w:val="left"/>
      <w:outlineLvl w:val="9"/>
    </w:pPr>
    <w:rPr>
      <w:rFonts w:ascii="Cambria" w:hAnsi="Cambria" w:eastAsia="宋体"/>
      <w:color w:val="365F91"/>
      <w:kern w:val="0"/>
      <w:szCs w:val="28"/>
    </w:rPr>
  </w:style>
  <w:style w:type="paragraph" w:customStyle="1" w:styleId="161">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162">
    <w:name w:val="List Paragraph"/>
    <w:basedOn w:val="1"/>
    <w:qFormat/>
    <w:uiPriority w:val="34"/>
    <w:pPr>
      <w:spacing w:line="360" w:lineRule="auto"/>
      <w:ind w:firstLine="420" w:firstLineChars="200"/>
    </w:pPr>
    <w:rPr>
      <w:sz w:val="24"/>
    </w:rPr>
  </w:style>
  <w:style w:type="paragraph" w:customStyle="1" w:styleId="163">
    <w:name w:val="10"/>
    <w:hidden/>
    <w:qFormat/>
    <w:uiPriority w:val="0"/>
    <w:rPr>
      <w:rFonts w:ascii="Times New Roman" w:hAnsi="Times New Roman" w:eastAsia="宋体" w:cs="Times New Roman"/>
      <w:kern w:val="2"/>
      <w:sz w:val="21"/>
      <w:szCs w:val="24"/>
      <w:lang w:val="en-US" w:eastAsia="zh-CN" w:bidi="ar-SA"/>
    </w:rPr>
  </w:style>
  <w:style w:type="paragraph" w:customStyle="1" w:styleId="164">
    <w:name w:val="彩色底纹 - 强调文字颜色 11"/>
    <w:hidden/>
    <w:semiHidden/>
    <w:qFormat/>
    <w:uiPriority w:val="0"/>
    <w:rPr>
      <w:rFonts w:ascii="Times New Roman" w:hAnsi="Times New Roman" w:eastAsia="宋体" w:cs="Times New Roman"/>
      <w:kern w:val="2"/>
      <w:sz w:val="21"/>
      <w:szCs w:val="24"/>
      <w:lang w:val="en-US" w:eastAsia="zh-CN" w:bidi="ar-SA"/>
    </w:rPr>
  </w:style>
  <w:style w:type="paragraph" w:customStyle="1" w:styleId="165">
    <w:name w:val="彩色列表 - 强调文字颜色 11"/>
    <w:basedOn w:val="1"/>
    <w:qFormat/>
    <w:uiPriority w:val="0"/>
    <w:pPr>
      <w:ind w:firstLine="420" w:firstLineChars="200"/>
    </w:pPr>
    <w:rPr>
      <w:rFonts w:ascii="Calibri" w:hAnsi="Calibri"/>
      <w:szCs w:val="22"/>
    </w:rPr>
  </w:style>
  <w:style w:type="paragraph" w:customStyle="1" w:styleId="166">
    <w:name w:val="Char1"/>
    <w:basedOn w:val="1"/>
    <w:qFormat/>
    <w:uiPriority w:val="0"/>
    <w:pPr>
      <w:tabs>
        <w:tab w:val="left" w:pos="360"/>
      </w:tabs>
    </w:pPr>
    <w:rPr>
      <w:sz w:val="24"/>
    </w:rPr>
  </w:style>
  <w:style w:type="paragraph" w:customStyle="1" w:styleId="167">
    <w:name w:val="正文文本 (2)1"/>
    <w:basedOn w:val="1"/>
    <w:link w:val="274"/>
    <w:qFormat/>
    <w:uiPriority w:val="0"/>
    <w:pPr>
      <w:shd w:val="clear" w:color="auto" w:fill="FFFFFF"/>
      <w:spacing w:after="1320" w:line="240" w:lineRule="atLeast"/>
      <w:jc w:val="left"/>
    </w:pPr>
    <w:rPr>
      <w:rFonts w:ascii="MingLiU" w:eastAsia="MingLiU"/>
      <w:spacing w:val="20"/>
      <w:kern w:val="0"/>
      <w:sz w:val="19"/>
      <w:szCs w:val="19"/>
      <w:shd w:val="clear" w:color="auto" w:fill="FFFFFF"/>
    </w:rPr>
  </w:style>
  <w:style w:type="paragraph" w:customStyle="1" w:styleId="16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69">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USE 1"/>
    <w:basedOn w:val="1"/>
    <w:qFormat/>
    <w:uiPriority w:val="0"/>
    <w:pPr>
      <w:spacing w:line="200" w:lineRule="atLeast"/>
      <w:jc w:val="left"/>
    </w:pPr>
    <w:rPr>
      <w:rFonts w:ascii="宋体" w:hAnsi="宋体"/>
      <w:b/>
      <w:sz w:val="24"/>
      <w:szCs w:val="28"/>
    </w:rPr>
  </w:style>
  <w:style w:type="paragraph" w:customStyle="1" w:styleId="1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174">
    <w:name w:val="正文文字缩进项目"/>
    <w:basedOn w:val="23"/>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175">
    <w:name w:val="样式 标题 2 + 段前: 13 磅 段后: 13 磅 行距: 单倍行距"/>
    <w:basedOn w:val="5"/>
    <w:qFormat/>
    <w:uiPriority w:val="0"/>
    <w:pPr>
      <w:adjustRightInd/>
      <w:jc w:val="both"/>
      <w:textAlignment w:val="auto"/>
    </w:pPr>
    <w:rPr>
      <w:rFonts w:ascii="Cambria" w:hAnsi="Cambria" w:cs="宋体"/>
      <w:kern w:val="2"/>
      <w:sz w:val="32"/>
    </w:rPr>
  </w:style>
  <w:style w:type="paragraph" w:customStyle="1" w:styleId="176">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77">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78">
    <w:name w:val="--规划正文"/>
    <w:basedOn w:val="1"/>
    <w:qFormat/>
    <w:uiPriority w:val="0"/>
    <w:pPr>
      <w:spacing w:line="360" w:lineRule="auto"/>
      <w:ind w:firstLine="200" w:firstLineChars="200"/>
    </w:pPr>
    <w:rPr>
      <w:szCs w:val="20"/>
    </w:rPr>
  </w:style>
  <w:style w:type="paragraph" w:customStyle="1" w:styleId="179">
    <w:name w:val="设计依据"/>
    <w:basedOn w:val="2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80">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81">
    <w:name w:val="样式4"/>
    <w:basedOn w:val="1"/>
    <w:qFormat/>
    <w:uiPriority w:val="0"/>
    <w:pPr>
      <w:tabs>
        <w:tab w:val="left" w:pos="842"/>
      </w:tabs>
      <w:spacing w:line="360" w:lineRule="auto"/>
      <w:ind w:left="842" w:hanging="420"/>
    </w:pPr>
    <w:rPr>
      <w:sz w:val="24"/>
    </w:rPr>
  </w:style>
  <w:style w:type="paragraph" w:customStyle="1" w:styleId="182">
    <w:name w:val="文字"/>
    <w:basedOn w:val="1"/>
    <w:qFormat/>
    <w:uiPriority w:val="0"/>
    <w:pPr>
      <w:tabs>
        <w:tab w:val="left" w:pos="8520"/>
      </w:tabs>
      <w:spacing w:line="312" w:lineRule="auto"/>
      <w:ind w:right="-210" w:firstLine="556"/>
    </w:pPr>
    <w:rPr>
      <w:rFonts w:ascii="宋体"/>
      <w:sz w:val="28"/>
      <w:szCs w:val="20"/>
    </w:rPr>
  </w:style>
  <w:style w:type="paragraph" w:customStyle="1" w:styleId="183">
    <w:name w:val="--规划-表格-居左"/>
    <w:basedOn w:val="178"/>
    <w:qFormat/>
    <w:uiPriority w:val="0"/>
    <w:pPr>
      <w:spacing w:line="240" w:lineRule="auto"/>
      <w:ind w:firstLine="0" w:firstLineChars="0"/>
    </w:pPr>
    <w:rPr>
      <w:sz w:val="20"/>
    </w:rPr>
  </w:style>
  <w:style w:type="paragraph" w:customStyle="1" w:styleId="184">
    <w:name w:val="--规划-表格-居中"/>
    <w:basedOn w:val="178"/>
    <w:qFormat/>
    <w:uiPriority w:val="0"/>
    <w:pPr>
      <w:spacing w:line="240" w:lineRule="auto"/>
      <w:ind w:firstLine="0" w:firstLineChars="0"/>
      <w:jc w:val="center"/>
    </w:pPr>
    <w:rPr>
      <w:sz w:val="20"/>
    </w:rPr>
  </w:style>
  <w:style w:type="paragraph" w:customStyle="1" w:styleId="185">
    <w:name w:val="--编号内缩进"/>
    <w:basedOn w:val="1"/>
    <w:qFormat/>
    <w:uiPriority w:val="0"/>
    <w:pPr>
      <w:spacing w:line="360" w:lineRule="auto"/>
      <w:ind w:left="420" w:firstLine="200" w:firstLineChars="200"/>
    </w:pPr>
    <w:rPr>
      <w:szCs w:val="21"/>
    </w:rPr>
  </w:style>
  <w:style w:type="paragraph" w:customStyle="1" w:styleId="186">
    <w:name w:val="--规划-题注"/>
    <w:basedOn w:val="1"/>
    <w:next w:val="178"/>
    <w:qFormat/>
    <w:uiPriority w:val="0"/>
    <w:pPr>
      <w:spacing w:line="360" w:lineRule="auto"/>
      <w:jc w:val="center"/>
    </w:pPr>
    <w:rPr>
      <w:rFonts w:eastAsia="黑体"/>
    </w:rPr>
  </w:style>
  <w:style w:type="paragraph" w:customStyle="1" w:styleId="187">
    <w:name w:val="--规划-图和表"/>
    <w:next w:val="178"/>
    <w:qFormat/>
    <w:uiPriority w:val="0"/>
    <w:pPr>
      <w:jc w:val="center"/>
    </w:pPr>
    <w:rPr>
      <w:rFonts w:ascii="Times New Roman" w:hAnsi="Times New Roman" w:eastAsia="宋体" w:cs="Times New Roman"/>
      <w:kern w:val="2"/>
      <w:sz w:val="21"/>
      <w:lang w:val="en-US" w:eastAsia="zh-CN" w:bidi="ar-SA"/>
    </w:rPr>
  </w:style>
  <w:style w:type="paragraph" w:customStyle="1" w:styleId="188">
    <w:name w:val="--规划-小标题"/>
    <w:basedOn w:val="1"/>
    <w:next w:val="178"/>
    <w:qFormat/>
    <w:uiPriority w:val="0"/>
    <w:pPr>
      <w:keepNext/>
      <w:keepLines/>
      <w:spacing w:line="360" w:lineRule="auto"/>
      <w:outlineLvl w:val="4"/>
    </w:pPr>
    <w:rPr>
      <w:rFonts w:eastAsia="黑体"/>
    </w:rPr>
  </w:style>
  <w:style w:type="paragraph" w:customStyle="1" w:styleId="189">
    <w:name w:val="--规划正文 Char"/>
    <w:basedOn w:val="1"/>
    <w:qFormat/>
    <w:uiPriority w:val="0"/>
    <w:pPr>
      <w:spacing w:line="360" w:lineRule="auto"/>
      <w:ind w:firstLine="200" w:firstLineChars="200"/>
    </w:pPr>
    <w:rPr>
      <w:sz w:val="24"/>
    </w:rPr>
  </w:style>
  <w:style w:type="paragraph" w:customStyle="1" w:styleId="190">
    <w:name w:val="缺省文本"/>
    <w:basedOn w:val="1"/>
    <w:qFormat/>
    <w:uiPriority w:val="0"/>
    <w:pPr>
      <w:autoSpaceDE w:val="0"/>
      <w:autoSpaceDN w:val="0"/>
      <w:adjustRightInd w:val="0"/>
      <w:jc w:val="left"/>
    </w:pPr>
    <w:rPr>
      <w:kern w:val="0"/>
    </w:rPr>
  </w:style>
  <w:style w:type="paragraph" w:customStyle="1" w:styleId="191">
    <w:name w:val="封面文档标题"/>
    <w:basedOn w:val="1"/>
    <w:qFormat/>
    <w:uiPriority w:val="0"/>
    <w:pPr>
      <w:autoSpaceDE w:val="0"/>
      <w:autoSpaceDN w:val="0"/>
      <w:adjustRightInd w:val="0"/>
      <w:spacing w:line="360" w:lineRule="auto"/>
      <w:jc w:val="center"/>
    </w:pPr>
    <w:rPr>
      <w:rFonts w:ascii="Arial" w:hAnsi="Arial"/>
      <w:b/>
      <w:kern w:val="0"/>
      <w:sz w:val="56"/>
    </w:rPr>
  </w:style>
  <w:style w:type="paragraph" w:customStyle="1" w:styleId="192">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paragraph" w:customStyle="1" w:styleId="193">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94">
    <w:name w:val="列表项目"/>
    <w:basedOn w:val="1"/>
    <w:qFormat/>
    <w:uiPriority w:val="0"/>
    <w:pPr>
      <w:tabs>
        <w:tab w:val="left" w:pos="420"/>
        <w:tab w:val="left" w:pos="1080"/>
      </w:tabs>
      <w:spacing w:line="288" w:lineRule="auto"/>
      <w:ind w:left="1080" w:hanging="360"/>
    </w:pPr>
    <w:rPr>
      <w:sz w:val="24"/>
      <w:szCs w:val="20"/>
    </w:rPr>
  </w:style>
  <w:style w:type="paragraph" w:customStyle="1" w:styleId="19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96">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9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98">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9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200">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paragraph" w:customStyle="1" w:styleId="201">
    <w:name w:val="8"/>
    <w:basedOn w:val="1"/>
    <w:next w:val="23"/>
    <w:qFormat/>
    <w:uiPriority w:val="0"/>
    <w:pPr>
      <w:spacing w:after="120"/>
      <w:ind w:left="420" w:leftChars="200"/>
    </w:pPr>
  </w:style>
  <w:style w:type="paragraph" w:customStyle="1" w:styleId="202">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03">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04">
    <w:name w:val="5"/>
    <w:basedOn w:val="1"/>
    <w:qFormat/>
    <w:uiPriority w:val="0"/>
    <w:pPr>
      <w:autoSpaceDE w:val="0"/>
      <w:autoSpaceDN w:val="0"/>
      <w:adjustRightInd w:val="0"/>
      <w:jc w:val="left"/>
    </w:pPr>
    <w:rPr>
      <w:rFonts w:ascii="宋体"/>
      <w:b/>
      <w:bCs/>
      <w:kern w:val="0"/>
      <w:sz w:val="18"/>
      <w:szCs w:val="18"/>
    </w:rPr>
  </w:style>
  <w:style w:type="paragraph" w:customStyle="1" w:styleId="205">
    <w:name w:val="6"/>
    <w:basedOn w:val="204"/>
    <w:qFormat/>
    <w:uiPriority w:val="0"/>
    <w:pPr>
      <w:spacing w:line="270" w:lineRule="atLeast"/>
      <w:jc w:val="both"/>
    </w:pPr>
    <w:rPr>
      <w:b w:val="0"/>
      <w:bCs w:val="0"/>
    </w:rPr>
  </w:style>
  <w:style w:type="paragraph" w:customStyle="1" w:styleId="206">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07">
    <w:name w:val="姜文清定义的正文"/>
    <w:basedOn w:val="1"/>
    <w:qFormat/>
    <w:uiPriority w:val="0"/>
    <w:pPr>
      <w:spacing w:line="240" w:lineRule="atLeast"/>
      <w:ind w:firstLine="567"/>
    </w:pPr>
    <w:rPr>
      <w:szCs w:val="20"/>
    </w:rPr>
  </w:style>
  <w:style w:type="paragraph" w:customStyle="1" w:styleId="208">
    <w:name w:val="CM2"/>
    <w:basedOn w:val="168"/>
    <w:next w:val="168"/>
    <w:qFormat/>
    <w:uiPriority w:val="0"/>
    <w:pPr>
      <w:spacing w:line="200" w:lineRule="atLeast"/>
    </w:pPr>
    <w:rPr>
      <w:rFonts w:ascii="Arial" w:hAnsi="Arial" w:cs="Times New Roman"/>
      <w:color w:val="auto"/>
    </w:rPr>
  </w:style>
  <w:style w:type="paragraph" w:customStyle="1" w:styleId="209">
    <w:name w:val="Normal Paragraph"/>
    <w:basedOn w:val="1"/>
    <w:qFormat/>
    <w:uiPriority w:val="0"/>
    <w:pPr>
      <w:widowControl/>
      <w:spacing w:before="120" w:line="360" w:lineRule="auto"/>
      <w:ind w:firstLine="425"/>
    </w:pPr>
    <w:rPr>
      <w:kern w:val="0"/>
      <w:sz w:val="24"/>
    </w:rPr>
  </w:style>
  <w:style w:type="paragraph" w:customStyle="1" w:styleId="210">
    <w:name w:val="blu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1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
    <w:name w:val="4"/>
    <w:basedOn w:val="1"/>
    <w:next w:val="1"/>
    <w:link w:val="315"/>
    <w:qFormat/>
    <w:uiPriority w:val="0"/>
    <w:pPr>
      <w:widowControl/>
      <w:pBdr>
        <w:bottom w:val="single" w:color="auto" w:sz="6" w:space="1"/>
      </w:pBdr>
      <w:jc w:val="center"/>
    </w:pPr>
    <w:rPr>
      <w:rFonts w:ascii="Arial" w:hAnsi="Arial" w:cs="Arial"/>
      <w:vanish/>
      <w:kern w:val="0"/>
      <w:sz w:val="16"/>
      <w:szCs w:val="16"/>
    </w:rPr>
  </w:style>
  <w:style w:type="paragraph" w:customStyle="1" w:styleId="214">
    <w:name w:val="1"/>
    <w:basedOn w:val="1"/>
    <w:next w:val="1"/>
    <w:link w:val="316"/>
    <w:qFormat/>
    <w:uiPriority w:val="0"/>
    <w:pPr>
      <w:widowControl/>
      <w:pBdr>
        <w:top w:val="single" w:color="auto" w:sz="6" w:space="1"/>
      </w:pBdr>
      <w:jc w:val="center"/>
    </w:pPr>
    <w:rPr>
      <w:rFonts w:ascii="Arial" w:hAnsi="Arial" w:cs="Arial"/>
      <w:vanish/>
      <w:kern w:val="0"/>
      <w:sz w:val="16"/>
      <w:szCs w:val="16"/>
    </w:rPr>
  </w:style>
  <w:style w:type="paragraph" w:customStyle="1" w:styleId="21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16">
    <w:name w:val="段落正文"/>
    <w:basedOn w:val="30"/>
    <w:qFormat/>
    <w:uiPriority w:val="0"/>
    <w:pPr>
      <w:ind w:firstLine="560" w:firstLineChars="200"/>
    </w:pPr>
    <w:rPr>
      <w:sz w:val="28"/>
    </w:rPr>
  </w:style>
  <w:style w:type="paragraph" w:customStyle="1" w:styleId="217">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paragraph" w:customStyle="1" w:styleId="218">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9">
    <w:name w:val="Char11"/>
    <w:basedOn w:val="1"/>
    <w:qFormat/>
    <w:uiPriority w:val="0"/>
    <w:pPr>
      <w:jc w:val="left"/>
    </w:pPr>
    <w:rPr>
      <w:rFonts w:ascii="Tahoma" w:hAnsi="Tahoma"/>
      <w:sz w:val="24"/>
      <w:szCs w:val="20"/>
    </w:rPr>
  </w:style>
  <w:style w:type="paragraph" w:customStyle="1" w:styleId="220">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22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22">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23">
    <w:name w:val="表格字"/>
    <w:basedOn w:val="1"/>
    <w:qFormat/>
    <w:uiPriority w:val="0"/>
    <w:pPr>
      <w:adjustRightInd w:val="0"/>
      <w:jc w:val="center"/>
    </w:pPr>
    <w:rPr>
      <w:rFonts w:ascii="宋体"/>
      <w:sz w:val="24"/>
      <w:szCs w:val="20"/>
    </w:rPr>
  </w:style>
  <w:style w:type="paragraph" w:customStyle="1" w:styleId="22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25">
    <w:name w:val="Char Char Char"/>
    <w:basedOn w:val="1"/>
    <w:qFormat/>
    <w:uiPriority w:val="0"/>
    <w:rPr>
      <w:rFonts w:ascii="Tahoma" w:hAnsi="Tahoma"/>
      <w:sz w:val="24"/>
      <w:szCs w:val="20"/>
    </w:rPr>
  </w:style>
  <w:style w:type="paragraph" w:customStyle="1" w:styleId="22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7">
    <w:name w:val="列出段落1"/>
    <w:basedOn w:val="1"/>
    <w:qFormat/>
    <w:uiPriority w:val="0"/>
    <w:pPr>
      <w:ind w:firstLine="420" w:firstLineChars="200"/>
    </w:pPr>
    <w:rPr>
      <w:rFonts w:ascii="Calibri" w:hAnsi="Calibri" w:cs="Calibri"/>
      <w:szCs w:val="21"/>
    </w:rPr>
  </w:style>
  <w:style w:type="paragraph" w:customStyle="1" w:styleId="228">
    <w:name w:val="评价"/>
    <w:basedOn w:val="1"/>
    <w:qFormat/>
    <w:uiPriority w:val="0"/>
    <w:pPr>
      <w:spacing w:afterLines="20"/>
      <w:ind w:firstLine="1446" w:firstLineChars="200"/>
    </w:pPr>
    <w:rPr>
      <w:rFonts w:ascii="Calibri" w:hAnsi="Calibri"/>
      <w:sz w:val="24"/>
    </w:rPr>
  </w:style>
  <w:style w:type="character" w:customStyle="1" w:styleId="229">
    <w:name w:val="标题 4 字符1"/>
    <w:link w:val="4"/>
    <w:qFormat/>
    <w:uiPriority w:val="0"/>
    <w:rPr>
      <w:rFonts w:ascii="Arial" w:hAnsi="Arial" w:eastAsia="黑体"/>
      <w:b/>
      <w:bCs/>
      <w:kern w:val="2"/>
      <w:sz w:val="28"/>
      <w:szCs w:val="28"/>
      <w:lang w:val="en-US" w:eastAsia="zh-CN" w:bidi="ar-SA"/>
    </w:rPr>
  </w:style>
  <w:style w:type="character" w:customStyle="1" w:styleId="230">
    <w:name w:val="标题 3 字符1"/>
    <w:link w:val="3"/>
    <w:qFormat/>
    <w:uiPriority w:val="0"/>
    <w:rPr>
      <w:rFonts w:ascii="宋体" w:hAnsi="宋体" w:eastAsia="宋体"/>
      <w:b/>
      <w:bCs/>
      <w:kern w:val="2"/>
      <w:sz w:val="28"/>
      <w:szCs w:val="32"/>
      <w:lang w:val="en-US" w:eastAsia="zh-CN" w:bidi="ar-SA"/>
    </w:rPr>
  </w:style>
  <w:style w:type="character" w:customStyle="1" w:styleId="231">
    <w:name w:val="标题 1 字符1"/>
    <w:link w:val="2"/>
    <w:qFormat/>
    <w:uiPriority w:val="9"/>
    <w:rPr>
      <w:rFonts w:ascii="宋体" w:hAnsi="宋体" w:eastAsia="黑体"/>
      <w:b/>
      <w:bCs/>
      <w:kern w:val="44"/>
      <w:sz w:val="28"/>
      <w:szCs w:val="44"/>
      <w:lang w:val="en-US" w:eastAsia="zh-CN" w:bidi="ar-SA"/>
    </w:rPr>
  </w:style>
  <w:style w:type="character" w:customStyle="1" w:styleId="232">
    <w:name w:val="正文缩进 字符"/>
    <w:link w:val="7"/>
    <w:qFormat/>
    <w:uiPriority w:val="0"/>
    <w:rPr>
      <w:rFonts w:eastAsia="宋体"/>
      <w:kern w:val="2"/>
      <w:sz w:val="21"/>
      <w:lang w:val="en-US" w:eastAsia="zh-CN" w:bidi="ar-SA"/>
    </w:rPr>
  </w:style>
  <w:style w:type="character" w:customStyle="1" w:styleId="233">
    <w:name w:val="标题 3 Char"/>
    <w:qFormat/>
    <w:uiPriority w:val="0"/>
    <w:rPr>
      <w:rFonts w:ascii="黑体" w:eastAsia="黑体"/>
      <w:bCs/>
      <w:sz w:val="30"/>
    </w:rPr>
  </w:style>
  <w:style w:type="character" w:customStyle="1" w:styleId="234">
    <w:name w:val="纯文本 字符"/>
    <w:link w:val="30"/>
    <w:qFormat/>
    <w:uiPriority w:val="0"/>
    <w:rPr>
      <w:rFonts w:ascii="宋体" w:hAnsi="Courier New" w:eastAsia="宋体"/>
      <w:kern w:val="2"/>
      <w:sz w:val="21"/>
      <w:lang w:val="en-US" w:eastAsia="zh-CN" w:bidi="ar-SA"/>
    </w:rPr>
  </w:style>
  <w:style w:type="character" w:customStyle="1" w:styleId="235">
    <w:name w:val="标题 2 字符1"/>
    <w:link w:val="5"/>
    <w:qFormat/>
    <w:uiPriority w:val="0"/>
    <w:rPr>
      <w:rFonts w:ascii="宋体" w:hAnsi="宋体" w:eastAsia="宋体"/>
      <w:b/>
      <w:bCs/>
      <w:sz w:val="24"/>
      <w:lang w:val="en-US" w:eastAsia="zh-CN" w:bidi="ar-SA"/>
    </w:rPr>
  </w:style>
  <w:style w:type="character" w:customStyle="1" w:styleId="236">
    <w:name w:val="批注框文本 字符1"/>
    <w:link w:val="35"/>
    <w:qFormat/>
    <w:uiPriority w:val="0"/>
    <w:rPr>
      <w:rFonts w:eastAsia="宋体"/>
      <w:kern w:val="2"/>
      <w:sz w:val="18"/>
      <w:szCs w:val="18"/>
      <w:lang w:val="en-US" w:eastAsia="zh-CN" w:bidi="ar-SA"/>
    </w:rPr>
  </w:style>
  <w:style w:type="character" w:customStyle="1" w:styleId="237">
    <w:name w:val="页脚 字符1"/>
    <w:link w:val="36"/>
    <w:qFormat/>
    <w:uiPriority w:val="0"/>
    <w:rPr>
      <w:rFonts w:eastAsia="宋体"/>
      <w:kern w:val="2"/>
      <w:sz w:val="18"/>
      <w:szCs w:val="18"/>
      <w:lang w:val="en-US" w:eastAsia="zh-CN" w:bidi="ar-SA"/>
    </w:rPr>
  </w:style>
  <w:style w:type="character" w:customStyle="1" w:styleId="238">
    <w:name w:val="正文文本缩进 字符"/>
    <w:link w:val="23"/>
    <w:qFormat/>
    <w:uiPriority w:val="0"/>
    <w:rPr>
      <w:rFonts w:eastAsia="宋体"/>
      <w:kern w:val="2"/>
      <w:sz w:val="21"/>
      <w:szCs w:val="24"/>
      <w:lang w:val="en-US" w:eastAsia="zh-CN" w:bidi="ar-SA"/>
    </w:rPr>
  </w:style>
  <w:style w:type="character" w:customStyle="1" w:styleId="239">
    <w:name w:val="正文文本首行缩进 2 字符"/>
    <w:basedOn w:val="238"/>
    <w:link w:val="54"/>
    <w:qFormat/>
    <w:uiPriority w:val="0"/>
    <w:rPr>
      <w:rFonts w:eastAsia="宋体"/>
      <w:kern w:val="2"/>
      <w:sz w:val="21"/>
      <w:szCs w:val="24"/>
      <w:lang w:val="en-US" w:eastAsia="zh-CN" w:bidi="ar-SA"/>
    </w:rPr>
  </w:style>
  <w:style w:type="character" w:customStyle="1" w:styleId="240">
    <w:name w:val="p121"/>
    <w:qFormat/>
    <w:uiPriority w:val="0"/>
    <w:rPr>
      <w:rFonts w:hint="default" w:ascii="_x000B__x000C_" w:hAnsi="_x000B__x000C_"/>
      <w:sz w:val="24"/>
      <w:szCs w:val="24"/>
    </w:rPr>
  </w:style>
  <w:style w:type="character" w:customStyle="1" w:styleId="241">
    <w:name w:val="正文文本 字符"/>
    <w:link w:val="22"/>
    <w:qFormat/>
    <w:uiPriority w:val="0"/>
    <w:rPr>
      <w:rFonts w:eastAsia="宋体"/>
      <w:b/>
      <w:bCs/>
      <w:kern w:val="2"/>
      <w:sz w:val="24"/>
      <w:szCs w:val="24"/>
      <w:lang w:val="en-US" w:eastAsia="zh-CN" w:bidi="ar-SA"/>
    </w:rPr>
  </w:style>
  <w:style w:type="character" w:customStyle="1" w:styleId="242">
    <w:name w:val="正文文本首行缩进 字符"/>
    <w:link w:val="53"/>
    <w:qFormat/>
    <w:uiPriority w:val="0"/>
    <w:rPr>
      <w:rFonts w:eastAsia="宋体"/>
      <w:b/>
      <w:bCs/>
      <w:kern w:val="2"/>
      <w:sz w:val="21"/>
      <w:szCs w:val="24"/>
      <w:lang w:val="en-US" w:eastAsia="zh-CN" w:bidi="ar-SA"/>
    </w:rPr>
  </w:style>
  <w:style w:type="character" w:customStyle="1" w:styleId="243">
    <w:name w:val="批注文字 字符1"/>
    <w:link w:val="18"/>
    <w:qFormat/>
    <w:uiPriority w:val="0"/>
    <w:rPr>
      <w:rFonts w:ascii="宋体" w:eastAsia="宋体"/>
      <w:sz w:val="34"/>
      <w:lang w:val="en-US" w:eastAsia="zh-CN" w:bidi="ar-SA"/>
    </w:rPr>
  </w:style>
  <w:style w:type="character" w:customStyle="1" w:styleId="244">
    <w:name w:val="批注主题 字符1"/>
    <w:link w:val="52"/>
    <w:qFormat/>
    <w:uiPriority w:val="0"/>
    <w:rPr>
      <w:rFonts w:ascii="宋体" w:eastAsia="宋体"/>
      <w:b/>
      <w:bCs/>
      <w:kern w:val="2"/>
      <w:sz w:val="21"/>
      <w:lang w:val="en-US" w:eastAsia="zh-CN" w:bidi="ar-SA"/>
    </w:rPr>
  </w:style>
  <w:style w:type="character" w:customStyle="1" w:styleId="245">
    <w:name w:val="fo Char"/>
    <w:qFormat/>
    <w:uiPriority w:val="0"/>
    <w:rPr>
      <w:rFonts w:eastAsia="宋体"/>
      <w:kern w:val="2"/>
      <w:sz w:val="18"/>
      <w:szCs w:val="18"/>
      <w:lang w:val="en-US" w:eastAsia="zh-CN" w:bidi="ar-SA"/>
    </w:rPr>
  </w:style>
  <w:style w:type="character" w:customStyle="1" w:styleId="246">
    <w:name w:val="明显引用 字符"/>
    <w:link w:val="157"/>
    <w:qFormat/>
    <w:uiPriority w:val="0"/>
    <w:rPr>
      <w:rFonts w:eastAsia="宋体"/>
      <w:b/>
      <w:bCs/>
      <w:i/>
      <w:iCs/>
      <w:color w:val="4F81BD"/>
      <w:kern w:val="2"/>
      <w:sz w:val="21"/>
      <w:szCs w:val="24"/>
      <w:lang w:val="en-US" w:eastAsia="zh-CN" w:bidi="ar-SA"/>
    </w:rPr>
  </w:style>
  <w:style w:type="character" w:customStyle="1" w:styleId="247">
    <w:name w:val="Char Char3"/>
    <w:qFormat/>
    <w:locked/>
    <w:uiPriority w:val="0"/>
    <w:rPr>
      <w:rFonts w:ascii="Arial" w:hAnsi="Arial" w:eastAsia="黑体"/>
      <w:b/>
      <w:bCs/>
      <w:kern w:val="2"/>
      <w:sz w:val="32"/>
      <w:szCs w:val="32"/>
      <w:lang w:val="en-US" w:eastAsia="zh-CN" w:bidi="ar-SA"/>
    </w:rPr>
  </w:style>
  <w:style w:type="character" w:customStyle="1" w:styleId="248">
    <w:name w:val="页眉 字符1"/>
    <w:link w:val="37"/>
    <w:qFormat/>
    <w:locked/>
    <w:uiPriority w:val="0"/>
    <w:rPr>
      <w:rFonts w:eastAsia="宋体"/>
      <w:kern w:val="2"/>
      <w:sz w:val="18"/>
      <w:szCs w:val="18"/>
      <w:lang w:val="en-US" w:eastAsia="zh-CN" w:bidi="ar-SA"/>
    </w:rPr>
  </w:style>
  <w:style w:type="character" w:customStyle="1" w:styleId="249">
    <w:name w:val="Char Char1"/>
    <w:qFormat/>
    <w:locked/>
    <w:uiPriority w:val="0"/>
    <w:rPr>
      <w:rFonts w:ascii="宋体" w:hAnsi="宋体" w:eastAsia="宋体"/>
      <w:kern w:val="2"/>
      <w:sz w:val="18"/>
      <w:szCs w:val="18"/>
      <w:lang w:val="en-US" w:eastAsia="zh-CN" w:bidi="ar-SA"/>
    </w:rPr>
  </w:style>
  <w:style w:type="character" w:customStyle="1" w:styleId="250">
    <w:name w:val="文档结构图 字符1"/>
    <w:link w:val="17"/>
    <w:semiHidden/>
    <w:qFormat/>
    <w:locked/>
    <w:uiPriority w:val="0"/>
    <w:rPr>
      <w:rFonts w:eastAsia="宋体"/>
      <w:kern w:val="2"/>
      <w:sz w:val="21"/>
      <w:szCs w:val="24"/>
      <w:lang w:val="en-US" w:eastAsia="zh-CN" w:bidi="ar-SA"/>
    </w:rPr>
  </w:style>
  <w:style w:type="character" w:customStyle="1" w:styleId="251">
    <w:name w:val="Char Char2"/>
    <w:qFormat/>
    <w:uiPriority w:val="0"/>
    <w:rPr>
      <w:rFonts w:eastAsia="宋体"/>
      <w:kern w:val="2"/>
      <w:sz w:val="18"/>
      <w:szCs w:val="18"/>
      <w:lang w:val="en-US" w:eastAsia="zh-CN" w:bidi="ar-SA"/>
    </w:rPr>
  </w:style>
  <w:style w:type="character" w:customStyle="1" w:styleId="252">
    <w:name w:val="Char Char9"/>
    <w:qFormat/>
    <w:uiPriority w:val="0"/>
    <w:rPr>
      <w:rFonts w:eastAsia="宋体"/>
      <w:b/>
      <w:bCs/>
      <w:kern w:val="2"/>
      <w:sz w:val="24"/>
      <w:szCs w:val="24"/>
      <w:lang w:val="en-US" w:eastAsia="zh-CN" w:bidi="ar-SA"/>
    </w:rPr>
  </w:style>
  <w:style w:type="character" w:customStyle="1" w:styleId="253">
    <w:name w:val="缩进正文 Char"/>
    <w:link w:val="159"/>
    <w:qFormat/>
    <w:uiPriority w:val="0"/>
    <w:rPr>
      <w:rFonts w:eastAsia="仿宋_GB2312" w:cs="宋体"/>
      <w:kern w:val="2"/>
      <w:sz w:val="28"/>
      <w:lang w:val="en-US" w:eastAsia="zh-CN" w:bidi="ar-SA"/>
    </w:rPr>
  </w:style>
  <w:style w:type="character" w:customStyle="1" w:styleId="254">
    <w:name w:val="h Char"/>
    <w:qFormat/>
    <w:locked/>
    <w:uiPriority w:val="0"/>
    <w:rPr>
      <w:rFonts w:eastAsia="宋体"/>
      <w:kern w:val="2"/>
      <w:sz w:val="18"/>
      <w:szCs w:val="18"/>
      <w:lang w:val="en-US" w:eastAsia="zh-CN" w:bidi="ar-SA"/>
    </w:rPr>
  </w:style>
  <w:style w:type="character" w:customStyle="1" w:styleId="255">
    <w:name w:val="H2 Char1"/>
    <w:qFormat/>
    <w:uiPriority w:val="0"/>
    <w:rPr>
      <w:rFonts w:ascii="宋体" w:hAnsi="宋体" w:eastAsia="宋体"/>
      <w:b/>
      <w:bCs/>
      <w:sz w:val="24"/>
      <w:lang w:val="en-US" w:eastAsia="zh-CN" w:bidi="ar-SA"/>
    </w:rPr>
  </w:style>
  <w:style w:type="character" w:customStyle="1" w:styleId="256">
    <w:name w:val="EHPT Char1"/>
    <w:qFormat/>
    <w:uiPriority w:val="0"/>
    <w:rPr>
      <w:rFonts w:eastAsia="宋体"/>
      <w:b/>
      <w:bCs/>
      <w:kern w:val="2"/>
      <w:sz w:val="24"/>
      <w:szCs w:val="24"/>
      <w:lang w:val="en-US" w:eastAsia="zh-CN" w:bidi="ar-SA"/>
    </w:rPr>
  </w:style>
  <w:style w:type="character" w:customStyle="1" w:styleId="257">
    <w:name w:val="1、 Char"/>
    <w:basedOn w:val="60"/>
    <w:qFormat/>
    <w:uiPriority w:val="0"/>
    <w:rPr>
      <w:rFonts w:ascii="Arial" w:hAnsi="Arial" w:eastAsia="黑体" w:cs="Times New Roman"/>
      <w:b/>
      <w:bCs/>
      <w:kern w:val="0"/>
      <w:sz w:val="28"/>
      <w:szCs w:val="28"/>
    </w:rPr>
  </w:style>
  <w:style w:type="character" w:customStyle="1" w:styleId="258">
    <w:name w:val="标题 5 字符1"/>
    <w:basedOn w:val="60"/>
    <w:link w:val="6"/>
    <w:qFormat/>
    <w:uiPriority w:val="0"/>
    <w:rPr>
      <w:rFonts w:eastAsia="宋体"/>
      <w:b/>
      <w:kern w:val="2"/>
      <w:sz w:val="28"/>
      <w:lang w:val="en-US" w:eastAsia="zh-CN" w:bidi="ar-SA"/>
    </w:rPr>
  </w:style>
  <w:style w:type="character" w:customStyle="1" w:styleId="259">
    <w:name w:val="标题 6 字符1"/>
    <w:basedOn w:val="60"/>
    <w:link w:val="8"/>
    <w:qFormat/>
    <w:uiPriority w:val="0"/>
    <w:rPr>
      <w:rFonts w:ascii="Arial" w:hAnsi="Arial" w:eastAsia="黑体"/>
      <w:b/>
      <w:kern w:val="2"/>
      <w:sz w:val="24"/>
      <w:lang w:val="en-US" w:eastAsia="zh-CN" w:bidi="ar-SA"/>
    </w:rPr>
  </w:style>
  <w:style w:type="character" w:customStyle="1" w:styleId="260">
    <w:name w:val="标题 7 字符1"/>
    <w:basedOn w:val="60"/>
    <w:link w:val="9"/>
    <w:qFormat/>
    <w:uiPriority w:val="0"/>
    <w:rPr>
      <w:rFonts w:eastAsia="宋体"/>
      <w:b/>
      <w:kern w:val="2"/>
      <w:sz w:val="24"/>
      <w:lang w:val="en-US" w:eastAsia="zh-CN" w:bidi="ar-SA"/>
    </w:rPr>
  </w:style>
  <w:style w:type="character" w:customStyle="1" w:styleId="261">
    <w:name w:val="标题 8 字符1"/>
    <w:basedOn w:val="60"/>
    <w:link w:val="10"/>
    <w:qFormat/>
    <w:uiPriority w:val="0"/>
    <w:rPr>
      <w:rFonts w:ascii="Arial" w:hAnsi="Arial" w:eastAsia="黑体"/>
      <w:kern w:val="2"/>
      <w:sz w:val="24"/>
      <w:lang w:val="en-US" w:eastAsia="zh-CN" w:bidi="ar-SA"/>
    </w:rPr>
  </w:style>
  <w:style w:type="character" w:customStyle="1" w:styleId="262">
    <w:name w:val="标题 9 字符1"/>
    <w:basedOn w:val="60"/>
    <w:link w:val="11"/>
    <w:qFormat/>
    <w:uiPriority w:val="0"/>
    <w:rPr>
      <w:rFonts w:ascii="Arial" w:hAnsi="Arial" w:eastAsia="黑体"/>
      <w:kern w:val="2"/>
      <w:sz w:val="21"/>
      <w:lang w:val="en-US" w:eastAsia="zh-CN" w:bidi="ar-SA"/>
    </w:rPr>
  </w:style>
  <w:style w:type="character" w:customStyle="1" w:styleId="263">
    <w:name w:val="Char Char12"/>
    <w:qFormat/>
    <w:uiPriority w:val="0"/>
    <w:rPr>
      <w:rFonts w:ascii="Times New Roman" w:hAnsi="Times New Roman"/>
      <w:szCs w:val="24"/>
    </w:rPr>
  </w:style>
  <w:style w:type="character" w:customStyle="1" w:styleId="264">
    <w:name w:val="批注文字 Char1"/>
    <w:basedOn w:val="60"/>
    <w:qFormat/>
    <w:uiPriority w:val="0"/>
    <w:rPr>
      <w:rFonts w:ascii="Times New Roman" w:hAnsi="Times New Roman" w:eastAsia="宋体" w:cs="Times New Roman"/>
      <w:szCs w:val="24"/>
    </w:rPr>
  </w:style>
  <w:style w:type="character" w:customStyle="1" w:styleId="265">
    <w:name w:val="Char Char11"/>
    <w:basedOn w:val="60"/>
    <w:qFormat/>
    <w:uiPriority w:val="0"/>
    <w:rPr>
      <w:rFonts w:ascii="Times New Roman" w:hAnsi="Times New Roman" w:eastAsia="宋体" w:cs="Times New Roman"/>
      <w:kern w:val="0"/>
      <w:sz w:val="18"/>
      <w:szCs w:val="18"/>
    </w:rPr>
  </w:style>
  <w:style w:type="character" w:customStyle="1" w:styleId="266">
    <w:name w:val="Char Char10"/>
    <w:qFormat/>
    <w:uiPriority w:val="0"/>
    <w:rPr>
      <w:rFonts w:ascii="Times New Roman" w:hAnsi="Times New Roman"/>
      <w:sz w:val="24"/>
      <w:szCs w:val="24"/>
      <w:shd w:val="clear" w:color="auto" w:fill="000080"/>
    </w:rPr>
  </w:style>
  <w:style w:type="character" w:customStyle="1" w:styleId="267">
    <w:name w:val="文档结构图 Char1"/>
    <w:basedOn w:val="60"/>
    <w:qFormat/>
    <w:uiPriority w:val="0"/>
    <w:rPr>
      <w:rFonts w:ascii="宋体" w:hAnsi="Times New Roman" w:eastAsia="宋体" w:cs="Times New Roman"/>
      <w:sz w:val="18"/>
      <w:szCs w:val="18"/>
    </w:rPr>
  </w:style>
  <w:style w:type="character" w:customStyle="1" w:styleId="268">
    <w:name w:val="日期 Char1"/>
    <w:basedOn w:val="60"/>
    <w:qFormat/>
    <w:uiPriority w:val="0"/>
    <w:rPr>
      <w:rFonts w:ascii="Times New Roman" w:hAnsi="Times New Roman" w:eastAsia="宋体" w:cs="Times New Roman"/>
      <w:szCs w:val="24"/>
    </w:rPr>
  </w:style>
  <w:style w:type="character" w:customStyle="1" w:styleId="269">
    <w:name w:val="Char Char8"/>
    <w:basedOn w:val="60"/>
    <w:qFormat/>
    <w:uiPriority w:val="0"/>
    <w:rPr>
      <w:rFonts w:ascii="Times New Roman" w:hAnsi="Times New Roman" w:eastAsia="宋体" w:cs="Times New Roman"/>
      <w:sz w:val="18"/>
      <w:szCs w:val="18"/>
    </w:rPr>
  </w:style>
  <w:style w:type="character" w:customStyle="1" w:styleId="270">
    <w:name w:val="日期 Char2"/>
    <w:basedOn w:val="60"/>
    <w:semiHidden/>
    <w:qFormat/>
    <w:uiPriority w:val="0"/>
    <w:rPr>
      <w:rFonts w:ascii="Times New Roman" w:hAnsi="Times New Roman" w:eastAsia="宋体" w:cs="Times New Roman"/>
      <w:szCs w:val="24"/>
    </w:rPr>
  </w:style>
  <w:style w:type="character" w:customStyle="1" w:styleId="271">
    <w:name w:val="defaultfont1"/>
    <w:basedOn w:val="60"/>
    <w:qFormat/>
    <w:uiPriority w:val="0"/>
  </w:style>
  <w:style w:type="character" w:customStyle="1" w:styleId="272">
    <w:name w:val="Char Char16"/>
    <w:qFormat/>
    <w:uiPriority w:val="0"/>
    <w:rPr>
      <w:rFonts w:ascii="华文细黑" w:hAnsi="Arial" w:eastAsia="宋体"/>
      <w:b/>
      <w:bCs/>
      <w:sz w:val="44"/>
      <w:szCs w:val="32"/>
      <w:lang w:val="en-US" w:eastAsia="zh-CN" w:bidi="ar-SA"/>
    </w:rPr>
  </w:style>
  <w:style w:type="character" w:customStyle="1" w:styleId="273">
    <w:name w:val="正文文本 (32) + 10.5 pt5"/>
    <w:qFormat/>
    <w:uiPriority w:val="0"/>
    <w:rPr>
      <w:rFonts w:ascii="MingLiU" w:eastAsia="MingLiU" w:cs="MingLiU"/>
      <w:sz w:val="21"/>
      <w:szCs w:val="21"/>
      <w:u w:val="none"/>
    </w:rPr>
  </w:style>
  <w:style w:type="character" w:customStyle="1" w:styleId="274">
    <w:name w:val="正文文本 (2)_"/>
    <w:link w:val="167"/>
    <w:qFormat/>
    <w:uiPriority w:val="0"/>
    <w:rPr>
      <w:rFonts w:ascii="MingLiU" w:eastAsia="MingLiU"/>
      <w:spacing w:val="20"/>
      <w:sz w:val="19"/>
      <w:szCs w:val="19"/>
      <w:shd w:val="clear" w:color="auto" w:fill="FFFFFF"/>
      <w:lang w:bidi="ar-SA"/>
    </w:rPr>
  </w:style>
  <w:style w:type="character" w:customStyle="1" w:styleId="275">
    <w:name w:val="正文文本 (32) + 10.5 pt"/>
    <w:qFormat/>
    <w:uiPriority w:val="0"/>
    <w:rPr>
      <w:rFonts w:ascii="MingLiU" w:eastAsia="MingLiU" w:cs="MingLiU"/>
      <w:sz w:val="21"/>
      <w:szCs w:val="21"/>
      <w:u w:val="none"/>
    </w:rPr>
  </w:style>
  <w:style w:type="character" w:customStyle="1" w:styleId="276">
    <w:name w:val="正文文本 (2) + 6 pt"/>
    <w:qFormat/>
    <w:uiPriority w:val="0"/>
    <w:rPr>
      <w:rFonts w:ascii="MingLiU" w:eastAsia="MingLiU" w:cs="MingLiU"/>
      <w:spacing w:val="0"/>
      <w:sz w:val="12"/>
      <w:szCs w:val="12"/>
      <w:u w:val="none"/>
      <w:shd w:val="clear" w:color="auto" w:fill="FFFFFF"/>
    </w:rPr>
  </w:style>
  <w:style w:type="character" w:customStyle="1" w:styleId="277">
    <w:name w:val="标题 1 字符"/>
    <w:qFormat/>
    <w:uiPriority w:val="0"/>
    <w:rPr>
      <w:rFonts w:ascii="华文细黑" w:hAnsi="Times New Roman" w:eastAsia="宋体" w:cs="Times New Roman"/>
      <w:b/>
      <w:bCs/>
      <w:snapToGrid/>
      <w:kern w:val="0"/>
      <w:sz w:val="28"/>
      <w:szCs w:val="44"/>
    </w:rPr>
  </w:style>
  <w:style w:type="character" w:customStyle="1" w:styleId="278">
    <w:name w:val="标题 2 字符"/>
    <w:qFormat/>
    <w:uiPriority w:val="0"/>
    <w:rPr>
      <w:rFonts w:ascii="华文细黑" w:hAnsi="Arial" w:eastAsia="宋体" w:cs="Times New Roman"/>
      <w:b/>
      <w:bCs/>
      <w:kern w:val="0"/>
      <w:sz w:val="44"/>
      <w:szCs w:val="32"/>
    </w:rPr>
  </w:style>
  <w:style w:type="character" w:customStyle="1" w:styleId="279">
    <w:name w:val="标题 3 字符"/>
    <w:qFormat/>
    <w:uiPriority w:val="0"/>
    <w:rPr>
      <w:rFonts w:ascii="Times New Roman" w:hAnsi="Times New Roman" w:eastAsia="华文细黑" w:cs="Times New Roman"/>
      <w:bCs/>
      <w:kern w:val="0"/>
      <w:sz w:val="36"/>
      <w:szCs w:val="32"/>
    </w:rPr>
  </w:style>
  <w:style w:type="character" w:customStyle="1" w:styleId="280">
    <w:name w:val="标题 4 字符"/>
    <w:qFormat/>
    <w:uiPriority w:val="0"/>
    <w:rPr>
      <w:rFonts w:ascii="Arial" w:hAnsi="Arial" w:eastAsia="黑体" w:cs="Times New Roman"/>
      <w:b/>
      <w:bCs/>
      <w:kern w:val="0"/>
      <w:sz w:val="28"/>
      <w:szCs w:val="28"/>
    </w:rPr>
  </w:style>
  <w:style w:type="character" w:customStyle="1" w:styleId="281">
    <w:name w:val="标题 5 字符"/>
    <w:qFormat/>
    <w:uiPriority w:val="0"/>
    <w:rPr>
      <w:rFonts w:ascii="Times New Roman" w:hAnsi="Times New Roman" w:eastAsia="宋体" w:cs="Times New Roman"/>
      <w:b/>
      <w:bCs/>
      <w:kern w:val="0"/>
      <w:sz w:val="28"/>
      <w:szCs w:val="28"/>
    </w:rPr>
  </w:style>
  <w:style w:type="character" w:customStyle="1" w:styleId="282">
    <w:name w:val="标题 6 字符"/>
    <w:qFormat/>
    <w:uiPriority w:val="0"/>
    <w:rPr>
      <w:rFonts w:ascii="Arial" w:hAnsi="Arial" w:eastAsia="黑体" w:cs="Times New Roman"/>
      <w:b/>
      <w:bCs/>
      <w:kern w:val="0"/>
      <w:sz w:val="24"/>
      <w:szCs w:val="24"/>
    </w:rPr>
  </w:style>
  <w:style w:type="character" w:customStyle="1" w:styleId="283">
    <w:name w:val="标题 7 字符"/>
    <w:qFormat/>
    <w:uiPriority w:val="0"/>
    <w:rPr>
      <w:rFonts w:ascii="Times New Roman" w:hAnsi="Times New Roman" w:eastAsia="宋体" w:cs="Times New Roman"/>
      <w:b/>
      <w:bCs/>
      <w:kern w:val="0"/>
      <w:sz w:val="24"/>
      <w:szCs w:val="24"/>
    </w:rPr>
  </w:style>
  <w:style w:type="character" w:customStyle="1" w:styleId="284">
    <w:name w:val="标题 8 字符"/>
    <w:qFormat/>
    <w:uiPriority w:val="0"/>
    <w:rPr>
      <w:rFonts w:ascii="Arial" w:hAnsi="Arial" w:eastAsia="黑体" w:cs="Times New Roman"/>
      <w:kern w:val="0"/>
      <w:sz w:val="24"/>
      <w:szCs w:val="24"/>
    </w:rPr>
  </w:style>
  <w:style w:type="character" w:customStyle="1" w:styleId="285">
    <w:name w:val="标题 9 字符"/>
    <w:qFormat/>
    <w:uiPriority w:val="0"/>
    <w:rPr>
      <w:rFonts w:ascii="Arial" w:hAnsi="Arial" w:eastAsia="黑体" w:cs="Times New Roman"/>
      <w:kern w:val="0"/>
      <w:szCs w:val="21"/>
    </w:rPr>
  </w:style>
  <w:style w:type="character" w:customStyle="1" w:styleId="286">
    <w:name w:val="批注文字 字符"/>
    <w:qFormat/>
    <w:uiPriority w:val="0"/>
    <w:rPr>
      <w:rFonts w:ascii="Times New Roman" w:hAnsi="Times New Roman"/>
      <w:szCs w:val="24"/>
    </w:rPr>
  </w:style>
  <w:style w:type="character" w:customStyle="1" w:styleId="287">
    <w:name w:val="批注框文本 字符"/>
    <w:semiHidden/>
    <w:qFormat/>
    <w:uiPriority w:val="0"/>
    <w:rPr>
      <w:rFonts w:ascii="Times New Roman" w:hAnsi="Times New Roman" w:eastAsia="宋体" w:cs="Times New Roman"/>
      <w:kern w:val="0"/>
      <w:sz w:val="18"/>
      <w:szCs w:val="18"/>
    </w:rPr>
  </w:style>
  <w:style w:type="character" w:customStyle="1" w:styleId="288">
    <w:name w:val="文档结构图 字符"/>
    <w:semiHidden/>
    <w:qFormat/>
    <w:uiPriority w:val="0"/>
    <w:rPr>
      <w:rFonts w:ascii="Times New Roman" w:hAnsi="Times New Roman"/>
      <w:sz w:val="24"/>
      <w:szCs w:val="24"/>
      <w:shd w:val="clear" w:color="auto" w:fill="000080"/>
    </w:rPr>
  </w:style>
  <w:style w:type="character" w:customStyle="1" w:styleId="289">
    <w:name w:val="页眉 字符"/>
    <w:qFormat/>
    <w:uiPriority w:val="0"/>
    <w:rPr>
      <w:rFonts w:ascii="Times New Roman" w:hAnsi="Times New Roman" w:eastAsia="宋体" w:cs="Times New Roman"/>
      <w:sz w:val="18"/>
      <w:szCs w:val="18"/>
    </w:rPr>
  </w:style>
  <w:style w:type="character" w:customStyle="1" w:styleId="290">
    <w:name w:val="页脚 字符"/>
    <w:qFormat/>
    <w:uiPriority w:val="0"/>
    <w:rPr>
      <w:rFonts w:ascii="Times New Roman" w:hAnsi="Times New Roman" w:eastAsia="宋体" w:cs="Times New Roman"/>
      <w:sz w:val="18"/>
      <w:szCs w:val="18"/>
    </w:rPr>
  </w:style>
  <w:style w:type="character" w:customStyle="1" w:styleId="291">
    <w:name w:val="批注主题 字符"/>
    <w:semiHidden/>
    <w:qFormat/>
    <w:uiPriority w:val="0"/>
    <w:rPr>
      <w:rFonts w:ascii="Times New Roman" w:hAnsi="Times New Roman" w:eastAsia="宋体" w:cs="Times New Roman"/>
      <w:b/>
      <w:bCs/>
      <w:szCs w:val="24"/>
    </w:rPr>
  </w:style>
  <w:style w:type="character" w:customStyle="1" w:styleId="292">
    <w:name w:val="标题 字符"/>
    <w:basedOn w:val="60"/>
    <w:link w:val="51"/>
    <w:qFormat/>
    <w:uiPriority w:val="0"/>
    <w:rPr>
      <w:rFonts w:ascii="Arial" w:hAnsi="Arial" w:eastAsia="隶书" w:cs="Arial"/>
      <w:b/>
      <w:bCs/>
      <w:kern w:val="2"/>
      <w:sz w:val="32"/>
      <w:szCs w:val="32"/>
    </w:rPr>
  </w:style>
  <w:style w:type="character" w:customStyle="1" w:styleId="293">
    <w:name w:val="日期 字符"/>
    <w:basedOn w:val="60"/>
    <w:link w:val="33"/>
    <w:qFormat/>
    <w:uiPriority w:val="0"/>
    <w:rPr>
      <w:rFonts w:ascii="宋体" w:hAnsi="Courier New"/>
      <w:kern w:val="2"/>
      <w:sz w:val="32"/>
    </w:rPr>
  </w:style>
  <w:style w:type="character" w:customStyle="1" w:styleId="294">
    <w:name w:val="HTML 预设格式 字符"/>
    <w:basedOn w:val="60"/>
    <w:link w:val="48"/>
    <w:qFormat/>
    <w:uiPriority w:val="0"/>
    <w:rPr>
      <w:rFonts w:ascii="Arial Unicode MS" w:hAnsi="Arial Unicode MS" w:eastAsia="Arial Unicode MS"/>
      <w:color w:val="000000"/>
    </w:rPr>
  </w:style>
  <w:style w:type="character" w:customStyle="1" w:styleId="295">
    <w:name w:val="正文文本缩进 2 字符"/>
    <w:basedOn w:val="60"/>
    <w:link w:val="34"/>
    <w:qFormat/>
    <w:uiPriority w:val="0"/>
    <w:rPr>
      <w:rFonts w:ascii="宋体" w:hAnsi="宋体"/>
      <w:kern w:val="2"/>
      <w:sz w:val="21"/>
      <w:szCs w:val="24"/>
    </w:rPr>
  </w:style>
  <w:style w:type="character" w:customStyle="1" w:styleId="296">
    <w:name w:val="正文文本缩进 3 字符"/>
    <w:basedOn w:val="60"/>
    <w:link w:val="44"/>
    <w:qFormat/>
    <w:uiPriority w:val="0"/>
    <w:rPr>
      <w:rFonts w:ascii="宋体"/>
      <w:b/>
      <w:bCs/>
      <w:kern w:val="2"/>
      <w:sz w:val="24"/>
      <w:szCs w:val="24"/>
    </w:rPr>
  </w:style>
  <w:style w:type="character" w:customStyle="1" w:styleId="297">
    <w:name w:val="正文文本 2 字符"/>
    <w:basedOn w:val="60"/>
    <w:link w:val="47"/>
    <w:qFormat/>
    <w:uiPriority w:val="0"/>
    <w:rPr>
      <w:kern w:val="2"/>
      <w:sz w:val="24"/>
      <w:szCs w:val="24"/>
    </w:rPr>
  </w:style>
  <w:style w:type="character" w:customStyle="1" w:styleId="298">
    <w:name w:val="正文文本 3 字符"/>
    <w:basedOn w:val="60"/>
    <w:link w:val="20"/>
    <w:qFormat/>
    <w:uiPriority w:val="0"/>
    <w:rPr>
      <w:kern w:val="2"/>
      <w:sz w:val="16"/>
      <w:szCs w:val="16"/>
    </w:rPr>
  </w:style>
  <w:style w:type="character" w:customStyle="1" w:styleId="299">
    <w:name w:val="H4 Char2"/>
    <w:qFormat/>
    <w:uiPriority w:val="0"/>
    <w:rPr>
      <w:rFonts w:ascii="Arial" w:hAnsi="Arial" w:eastAsia="黑体"/>
      <w:b/>
      <w:bCs/>
      <w:kern w:val="2"/>
      <w:sz w:val="28"/>
      <w:szCs w:val="28"/>
      <w:lang w:val="en-US" w:eastAsia="zh-CN" w:bidi="ar-SA"/>
    </w:rPr>
  </w:style>
  <w:style w:type="character" w:customStyle="1" w:styleId="300">
    <w:name w:val="章标题1 Char"/>
    <w:qFormat/>
    <w:uiPriority w:val="0"/>
    <w:rPr>
      <w:rFonts w:eastAsia="宋体"/>
      <w:b/>
      <w:bCs/>
      <w:kern w:val="2"/>
      <w:sz w:val="32"/>
      <w:szCs w:val="32"/>
      <w:lang w:val="en-US" w:eastAsia="zh-CN" w:bidi="ar-SA"/>
    </w:rPr>
  </w:style>
  <w:style w:type="character" w:customStyle="1" w:styleId="301">
    <w:name w:val="标题 3 Char Char"/>
    <w:qFormat/>
    <w:uiPriority w:val="0"/>
    <w:rPr>
      <w:rFonts w:eastAsia="宋体"/>
      <w:b/>
      <w:bCs/>
      <w:kern w:val="2"/>
      <w:sz w:val="32"/>
      <w:szCs w:val="32"/>
      <w:lang w:val="en-US" w:eastAsia="zh-CN" w:bidi="ar-SA"/>
    </w:rPr>
  </w:style>
  <w:style w:type="character" w:customStyle="1" w:styleId="302">
    <w:name w:val="--规划正文 Char Char"/>
    <w:qFormat/>
    <w:uiPriority w:val="0"/>
    <w:rPr>
      <w:rFonts w:eastAsia="宋体"/>
      <w:kern w:val="2"/>
      <w:sz w:val="24"/>
      <w:szCs w:val="24"/>
      <w:lang w:val="en-US" w:eastAsia="zh-CN" w:bidi="ar-SA"/>
    </w:rPr>
  </w:style>
  <w:style w:type="character" w:customStyle="1" w:styleId="303">
    <w:name w:val="--规划正文 Char1"/>
    <w:qFormat/>
    <w:uiPriority w:val="0"/>
    <w:rPr>
      <w:rFonts w:eastAsia="宋体"/>
      <w:kern w:val="2"/>
      <w:sz w:val="21"/>
      <w:lang w:val="en-US" w:eastAsia="zh-CN" w:bidi="ar-SA"/>
    </w:rPr>
  </w:style>
  <w:style w:type="character" w:customStyle="1" w:styleId="304">
    <w:name w:val="content1"/>
    <w:qFormat/>
    <w:uiPriority w:val="0"/>
    <w:rPr>
      <w:rFonts w:hint="default" w:ascii="??" w:hAnsi="??"/>
      <w:sz w:val="16"/>
      <w:szCs w:val="16"/>
      <w:u w:val="none"/>
    </w:rPr>
  </w:style>
  <w:style w:type="character" w:customStyle="1" w:styleId="305">
    <w:name w:val="unnamed4"/>
    <w:basedOn w:val="60"/>
    <w:qFormat/>
    <w:uiPriority w:val="0"/>
  </w:style>
  <w:style w:type="character" w:customStyle="1" w:styleId="306">
    <w:name w:val="font2"/>
    <w:basedOn w:val="60"/>
    <w:qFormat/>
    <w:uiPriority w:val="0"/>
  </w:style>
  <w:style w:type="character" w:customStyle="1" w:styleId="307">
    <w:name w:val="font41"/>
    <w:qFormat/>
    <w:uiPriority w:val="0"/>
    <w:rPr>
      <w:color w:val="000000"/>
      <w:sz w:val="18"/>
      <w:szCs w:val="18"/>
      <w:u w:val="none"/>
    </w:rPr>
  </w:style>
  <w:style w:type="character" w:customStyle="1" w:styleId="308">
    <w:name w:val="mode"/>
    <w:basedOn w:val="60"/>
    <w:qFormat/>
    <w:uiPriority w:val="0"/>
  </w:style>
  <w:style w:type="character" w:customStyle="1" w:styleId="309">
    <w:name w:val="unnamed3"/>
    <w:basedOn w:val="60"/>
    <w:qFormat/>
    <w:uiPriority w:val="0"/>
  </w:style>
  <w:style w:type="character" w:customStyle="1" w:styleId="310">
    <w:name w:val="blue"/>
    <w:basedOn w:val="60"/>
    <w:qFormat/>
    <w:uiPriority w:val="0"/>
  </w:style>
  <w:style w:type="character" w:customStyle="1" w:styleId="311">
    <w:name w:val="font"/>
    <w:basedOn w:val="60"/>
    <w:qFormat/>
    <w:uiPriority w:val="0"/>
  </w:style>
  <w:style w:type="character" w:customStyle="1" w:styleId="312">
    <w:name w:val="proddescription"/>
    <w:basedOn w:val="60"/>
    <w:qFormat/>
    <w:uiPriority w:val="0"/>
  </w:style>
  <w:style w:type="character" w:customStyle="1" w:styleId="313">
    <w:name w:val="prodheadlines"/>
    <w:basedOn w:val="60"/>
    <w:qFormat/>
    <w:uiPriority w:val="0"/>
  </w:style>
  <w:style w:type="character" w:customStyle="1" w:styleId="314">
    <w:name w:val="text"/>
    <w:basedOn w:val="60"/>
    <w:qFormat/>
    <w:uiPriority w:val="0"/>
  </w:style>
  <w:style w:type="character" w:customStyle="1" w:styleId="315">
    <w:name w:val="z-窗体顶端 Char"/>
    <w:basedOn w:val="60"/>
    <w:link w:val="213"/>
    <w:qFormat/>
    <w:uiPriority w:val="0"/>
    <w:rPr>
      <w:rFonts w:ascii="Arial" w:hAnsi="Arial" w:cs="Arial"/>
      <w:vanish/>
      <w:sz w:val="16"/>
      <w:szCs w:val="16"/>
    </w:rPr>
  </w:style>
  <w:style w:type="character" w:customStyle="1" w:styleId="316">
    <w:name w:val="z-窗体底端 Char"/>
    <w:basedOn w:val="60"/>
    <w:link w:val="214"/>
    <w:qFormat/>
    <w:uiPriority w:val="0"/>
    <w:rPr>
      <w:rFonts w:ascii="Arial" w:hAnsi="Arial" w:cs="Arial"/>
      <w:vanish/>
      <w:sz w:val="16"/>
      <w:szCs w:val="16"/>
    </w:rPr>
  </w:style>
  <w:style w:type="character" w:customStyle="1" w:styleId="317">
    <w:name w:val="gray6"/>
    <w:basedOn w:val="60"/>
    <w:qFormat/>
    <w:uiPriority w:val="0"/>
  </w:style>
  <w:style w:type="character" w:customStyle="1" w:styleId="318">
    <w:name w:val="style9"/>
    <w:basedOn w:val="60"/>
    <w:qFormat/>
    <w:uiPriority w:val="0"/>
  </w:style>
  <w:style w:type="character" w:customStyle="1" w:styleId="319">
    <w:name w:val="grame"/>
    <w:basedOn w:val="60"/>
    <w:qFormat/>
    <w:uiPriority w:val="0"/>
  </w:style>
  <w:style w:type="character" w:customStyle="1" w:styleId="320">
    <w:name w:val="样式 小三 加粗"/>
    <w:qFormat/>
    <w:uiPriority w:val="0"/>
    <w:rPr>
      <w:rFonts w:eastAsia="宋体"/>
      <w:b/>
      <w:bCs/>
      <w:sz w:val="32"/>
    </w:rPr>
  </w:style>
  <w:style w:type="character" w:customStyle="1" w:styleId="321">
    <w:name w:val="info4"/>
    <w:basedOn w:val="60"/>
    <w:qFormat/>
    <w:uiPriority w:val="0"/>
  </w:style>
  <w:style w:type="paragraph" w:customStyle="1" w:styleId="322">
    <w:name w:val="z-窗体底端1"/>
    <w:basedOn w:val="1"/>
    <w:next w:val="1"/>
    <w:link w:val="323"/>
    <w:qFormat/>
    <w:uiPriority w:val="0"/>
    <w:pPr>
      <w:widowControl/>
      <w:pBdr>
        <w:top w:val="single" w:color="auto" w:sz="6" w:space="1"/>
      </w:pBdr>
      <w:jc w:val="center"/>
    </w:pPr>
    <w:rPr>
      <w:rFonts w:ascii="Arial" w:hAnsi="Arial"/>
      <w:vanish/>
      <w:kern w:val="0"/>
      <w:sz w:val="16"/>
      <w:szCs w:val="16"/>
    </w:rPr>
  </w:style>
  <w:style w:type="character" w:customStyle="1" w:styleId="323">
    <w:name w:val="z-窗体底端 Char1"/>
    <w:basedOn w:val="60"/>
    <w:link w:val="322"/>
    <w:semiHidden/>
    <w:qFormat/>
    <w:uiPriority w:val="99"/>
    <w:rPr>
      <w:rFonts w:ascii="Arial" w:hAnsi="Arial" w:cs="Arial"/>
      <w:vanish/>
      <w:kern w:val="2"/>
      <w:sz w:val="16"/>
      <w:szCs w:val="16"/>
    </w:rPr>
  </w:style>
  <w:style w:type="paragraph" w:customStyle="1" w:styleId="324">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character" w:customStyle="1" w:styleId="325">
    <w:name w:val="标题1"/>
    <w:qFormat/>
    <w:uiPriority w:val="0"/>
  </w:style>
  <w:style w:type="character" w:customStyle="1" w:styleId="326">
    <w:name w:val="标题11"/>
    <w:qFormat/>
    <w:uiPriority w:val="0"/>
  </w:style>
  <w:style w:type="paragraph" w:customStyle="1" w:styleId="327">
    <w:name w:val=".正文"/>
    <w:basedOn w:val="1"/>
    <w:autoRedefine/>
    <w:qFormat/>
    <w:uiPriority w:val="0"/>
    <w:pPr>
      <w:spacing w:line="360" w:lineRule="auto"/>
      <w:ind w:firstLine="426"/>
    </w:pPr>
    <w:rPr>
      <w:rFonts w:asciiTheme="minorEastAsia" w:hAnsiTheme="minorEastAsia" w:eastAsiaTheme="minorEastAsia"/>
      <w:sz w:val="24"/>
    </w:rPr>
  </w:style>
  <w:style w:type="paragraph" w:styleId="32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29">
    <w:name w:val="未处理的提及1"/>
    <w:basedOn w:val="6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AFDDF-1DF8-4AFB-B49E-C4B1DEAB36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57039</Words>
  <Characters>60660</Characters>
  <Lines>74</Lines>
  <Paragraphs>130</Paragraphs>
  <TotalTime>25</TotalTime>
  <ScaleCrop>false</ScaleCrop>
  <LinksUpToDate>false</LinksUpToDate>
  <CharactersWithSpaces>62950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2024-09-30T01:40:00Z</dcterms:created>
  <dc:creator>thsware</dc:creator>
  <cp:lastModifiedBy>中正招标-李工</cp:lastModifiedBy>
  <cp:lastPrinted>2014-05-07T07:57:00Z</cp:lastPrinted>
  <dcterms:modified xsi:type="dcterms:W3CDTF">2024-10-11T08:34:41Z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B3F0B424AC4940EA9C54BC45A855939E_13</vt:lpwstr>
  </property>
</Properties>
</file>